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D1" w:rsidRDefault="00EC0ED1">
      <w:pPr>
        <w:spacing w:line="360" w:lineRule="auto"/>
        <w:jc w:val="center"/>
        <w:rPr>
          <w:rFonts w:ascii="Verdana" w:hAnsi="Verdana"/>
          <w:b/>
          <w:sz w:val="44"/>
          <w:szCs w:val="44"/>
        </w:rPr>
      </w:pPr>
    </w:p>
    <w:p w:rsidR="00EC0ED1" w:rsidRDefault="00EC0ED1">
      <w:pPr>
        <w:spacing w:line="360" w:lineRule="auto"/>
        <w:jc w:val="center"/>
        <w:rPr>
          <w:rFonts w:ascii="Verdana" w:hAnsi="Verdana"/>
          <w:b/>
          <w:sz w:val="44"/>
          <w:szCs w:val="44"/>
        </w:rPr>
      </w:pPr>
    </w:p>
    <w:p w:rsidR="00EC0ED1" w:rsidRDefault="00EC0ED1">
      <w:pPr>
        <w:jc w:val="both"/>
        <w:rPr>
          <w:rFonts w:ascii="Verdana" w:hAnsi="Verdana" w:cs="Arial"/>
          <w:sz w:val="22"/>
          <w:szCs w:val="22"/>
        </w:rPr>
      </w:pPr>
    </w:p>
    <w:p w:rsidR="00EC0ED1" w:rsidRDefault="00A92B30">
      <w:pPr>
        <w:spacing w:line="480" w:lineRule="auto"/>
        <w:jc w:val="center"/>
        <w:rPr>
          <w:rFonts w:ascii="Verdana" w:hAnsi="Verdana"/>
          <w:b/>
          <w:sz w:val="36"/>
          <w:szCs w:val="36"/>
        </w:rPr>
      </w:pPr>
      <w:r>
        <w:rPr>
          <w:rFonts w:ascii="Verdana" w:hAnsi="Verdana"/>
          <w:b/>
          <w:sz w:val="36"/>
          <w:szCs w:val="36"/>
        </w:rPr>
        <w:t>- PARTE SPECIALE D</w:t>
      </w:r>
      <w:r w:rsidR="00EC0ED1">
        <w:rPr>
          <w:rFonts w:ascii="Verdana" w:hAnsi="Verdana"/>
          <w:b/>
          <w:sz w:val="36"/>
          <w:szCs w:val="36"/>
        </w:rPr>
        <w:t xml:space="preserve"> -</w:t>
      </w:r>
    </w:p>
    <w:p w:rsidR="00EC0ED1" w:rsidRDefault="00EC0ED1" w:rsidP="00116F7B">
      <w:pPr>
        <w:pStyle w:val="Default"/>
        <w:spacing w:line="480" w:lineRule="auto"/>
        <w:jc w:val="center"/>
        <w:rPr>
          <w:rFonts w:ascii="Verdana" w:hAnsi="Verdana" w:cs="Times New Roman"/>
          <w:b/>
          <w:sz w:val="36"/>
          <w:szCs w:val="36"/>
          <w:lang w:val="it-IT" w:eastAsia="it-IT"/>
        </w:rPr>
      </w:pPr>
      <w:r>
        <w:rPr>
          <w:rFonts w:ascii="Verdana" w:hAnsi="Verdana" w:cs="Times New Roman"/>
          <w:b/>
          <w:sz w:val="36"/>
          <w:szCs w:val="36"/>
          <w:lang w:val="it-IT" w:eastAsia="it-IT"/>
        </w:rPr>
        <w:t xml:space="preserve">I REATI </w:t>
      </w:r>
      <w:r w:rsidR="00116F7B">
        <w:rPr>
          <w:rFonts w:ascii="Verdana" w:hAnsi="Verdana" w:cs="Times New Roman"/>
          <w:b/>
          <w:sz w:val="36"/>
          <w:szCs w:val="36"/>
          <w:lang w:val="it-IT" w:eastAsia="it-IT"/>
        </w:rPr>
        <w:t>SOCIETARI</w:t>
      </w:r>
    </w:p>
    <w:p w:rsidR="00FC3C5A" w:rsidRPr="00FC3C5A" w:rsidRDefault="00FC3C5A" w:rsidP="00FC3C5A">
      <w:pPr>
        <w:pStyle w:val="Default"/>
        <w:spacing w:line="480" w:lineRule="auto"/>
        <w:rPr>
          <w:rFonts w:ascii="Verdana" w:hAnsi="Verdana"/>
          <w:b/>
          <w:lang w:val="it-IT"/>
        </w:rPr>
      </w:pPr>
    </w:p>
    <w:p w:rsidR="00FC3C5A" w:rsidRDefault="00FC3C5A" w:rsidP="00FC3C5A">
      <w:pPr>
        <w:spacing w:line="360" w:lineRule="auto"/>
        <w:jc w:val="center"/>
        <w:rPr>
          <w:rFonts w:ascii="Verdana" w:hAnsi="Verdana"/>
          <w:b/>
          <w:sz w:val="28"/>
          <w:szCs w:val="28"/>
        </w:rPr>
      </w:pPr>
      <w:r>
        <w:rPr>
          <w:rFonts w:ascii="Verdana" w:hAnsi="Verdana"/>
          <w:b/>
          <w:noProof/>
          <w:sz w:val="28"/>
          <w:szCs w:val="28"/>
        </w:rPr>
        <w:drawing>
          <wp:anchor distT="0" distB="0" distL="114300" distR="114300" simplePos="0" relativeHeight="251660288" behindDoc="0" locked="0" layoutInCell="1" allowOverlap="1">
            <wp:simplePos x="0" y="0"/>
            <wp:positionH relativeFrom="column">
              <wp:posOffset>-84455</wp:posOffset>
            </wp:positionH>
            <wp:positionV relativeFrom="paragraph">
              <wp:posOffset>0</wp:posOffset>
            </wp:positionV>
            <wp:extent cx="3959860" cy="644525"/>
            <wp:effectExtent l="19050" t="19050" r="21590" b="22225"/>
            <wp:wrapNone/>
            <wp:docPr id="2" name="Picture 2" descr="Ente Ecclesiastico - Ospedale Generale Regionale &quot;F. Miulli&quot; - Acquaviva -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 Ecclesiastico - Ospedale Generale Regionale &quot;F. Miulli&quot; - Acquaviva - BA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644525"/>
                    </a:xfrm>
                    <a:prstGeom prst="rect">
                      <a:avLst/>
                    </a:prstGeom>
                    <a:noFill/>
                    <a:ln w="9525">
                      <a:solidFill>
                        <a:srgbClr val="558ED5"/>
                      </a:solidFill>
                      <a:miter lim="800000"/>
                      <a:headEnd/>
                      <a:tailEnd/>
                    </a:ln>
                  </pic:spPr>
                </pic:pic>
              </a:graphicData>
            </a:graphic>
            <wp14:sizeRelH relativeFrom="page">
              <wp14:pctWidth>0</wp14:pctWidth>
            </wp14:sizeRelH>
            <wp14:sizeRelV relativeFrom="page">
              <wp14:pctHeight>0</wp14:pctHeight>
            </wp14:sizeRelV>
          </wp:anchor>
        </w:drawing>
      </w:r>
    </w:p>
    <w:p w:rsidR="00FC3C5A" w:rsidRDefault="00FC3C5A" w:rsidP="00FC3C5A">
      <w:pPr>
        <w:spacing w:line="360" w:lineRule="auto"/>
        <w:jc w:val="center"/>
        <w:rPr>
          <w:rFonts w:ascii="Verdana" w:hAnsi="Verdana"/>
          <w:b/>
          <w:sz w:val="28"/>
          <w:szCs w:val="28"/>
        </w:rPr>
      </w:pPr>
      <w:r>
        <w:rPr>
          <w:rFonts w:ascii="Verdana" w:hAnsi="Verdana"/>
          <w:b/>
          <w:noProof/>
          <w:sz w:val="28"/>
          <w:szCs w:val="28"/>
        </w:rPr>
        <w:drawing>
          <wp:anchor distT="0" distB="0" distL="114300" distR="114300" simplePos="0" relativeHeight="251659264" behindDoc="0" locked="0" layoutInCell="1" allowOverlap="1">
            <wp:simplePos x="0" y="0"/>
            <wp:positionH relativeFrom="column">
              <wp:posOffset>-93345</wp:posOffset>
            </wp:positionH>
            <wp:positionV relativeFrom="paragraph">
              <wp:posOffset>47625</wp:posOffset>
            </wp:positionV>
            <wp:extent cx="6332220" cy="2381250"/>
            <wp:effectExtent l="0" t="0" r="0" b="0"/>
            <wp:wrapNone/>
            <wp:docPr id="1" name="Picture 1" descr="http://www.miulli.it/Portals/0/WebSitesCreative_Banner/1338/868b8c8b-db7b-4ca8-b610-063b6dbefdca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ulli.it/Portals/0/WebSitesCreative_Banner/1338/868b8c8b-db7b-4ca8-b610-063b6dbefdca_resiz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5A" w:rsidRDefault="00FC3C5A" w:rsidP="00FC3C5A">
      <w:pPr>
        <w:spacing w:line="360" w:lineRule="auto"/>
        <w:jc w:val="center"/>
        <w:rPr>
          <w:rFonts w:ascii="Verdana" w:hAnsi="Verdana"/>
          <w:b/>
          <w:sz w:val="28"/>
          <w:szCs w:val="28"/>
        </w:rPr>
      </w:pPr>
    </w:p>
    <w:p w:rsidR="00FC3C5A" w:rsidRDefault="00FC3C5A" w:rsidP="00FC3C5A">
      <w:pPr>
        <w:spacing w:line="360" w:lineRule="auto"/>
        <w:jc w:val="center"/>
        <w:rPr>
          <w:rFonts w:ascii="Verdana" w:hAnsi="Verdana"/>
          <w:b/>
          <w:sz w:val="28"/>
          <w:szCs w:val="28"/>
        </w:rPr>
      </w:pPr>
    </w:p>
    <w:p w:rsidR="00FC3C5A" w:rsidRDefault="00FC3C5A" w:rsidP="00FC3C5A">
      <w:pPr>
        <w:spacing w:line="360" w:lineRule="auto"/>
        <w:jc w:val="center"/>
        <w:rPr>
          <w:rFonts w:ascii="Verdana" w:hAnsi="Verdana"/>
          <w:b/>
          <w:sz w:val="28"/>
          <w:szCs w:val="28"/>
        </w:rPr>
      </w:pPr>
    </w:p>
    <w:p w:rsidR="00FC3C5A" w:rsidRDefault="00FC3C5A" w:rsidP="00FC3C5A">
      <w:pPr>
        <w:spacing w:line="360" w:lineRule="auto"/>
        <w:jc w:val="center"/>
        <w:rPr>
          <w:rFonts w:ascii="Verdana" w:hAnsi="Verdana"/>
          <w:b/>
          <w:sz w:val="28"/>
          <w:szCs w:val="28"/>
        </w:rPr>
      </w:pPr>
    </w:p>
    <w:p w:rsidR="00FC3C5A" w:rsidRDefault="00FC3C5A" w:rsidP="00FC3C5A">
      <w:pPr>
        <w:spacing w:line="360" w:lineRule="auto"/>
        <w:jc w:val="center"/>
        <w:rPr>
          <w:rFonts w:ascii="Verdana" w:hAnsi="Verdana"/>
          <w:b/>
          <w:sz w:val="28"/>
          <w:szCs w:val="28"/>
        </w:rPr>
      </w:pPr>
    </w:p>
    <w:p w:rsidR="00FC3C5A" w:rsidRPr="00A42D12" w:rsidRDefault="00FC3C5A" w:rsidP="00FC3C5A">
      <w:pPr>
        <w:spacing w:line="360" w:lineRule="auto"/>
        <w:jc w:val="center"/>
        <w:rPr>
          <w:rFonts w:ascii="Verdana" w:hAnsi="Verdana"/>
          <w:b/>
          <w:szCs w:val="24"/>
        </w:rPr>
      </w:pPr>
    </w:p>
    <w:p w:rsidR="00FC3C5A" w:rsidRDefault="00FC3C5A" w:rsidP="00FC3C5A">
      <w:pPr>
        <w:spacing w:line="360" w:lineRule="auto"/>
        <w:rPr>
          <w:rFonts w:ascii="Verdana" w:hAnsi="Verdana"/>
          <w:b/>
          <w:szCs w:val="24"/>
        </w:rPr>
      </w:pPr>
    </w:p>
    <w:p w:rsidR="00FC3C5A" w:rsidRDefault="00FC3C5A" w:rsidP="00FC3C5A">
      <w:pPr>
        <w:spacing w:line="360" w:lineRule="auto"/>
        <w:rPr>
          <w:rFonts w:ascii="Verdana" w:hAnsi="Verdana"/>
          <w:b/>
          <w:szCs w:val="24"/>
        </w:rPr>
      </w:pPr>
    </w:p>
    <w:p w:rsidR="003A548B" w:rsidRPr="00A42D12" w:rsidRDefault="003A548B" w:rsidP="003A548B">
      <w:pPr>
        <w:spacing w:line="360" w:lineRule="auto"/>
        <w:rPr>
          <w:rFonts w:ascii="Verdana" w:hAnsi="Verdan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1968"/>
        <w:gridCol w:w="2552"/>
        <w:gridCol w:w="1949"/>
      </w:tblGrid>
      <w:tr w:rsidR="003A548B" w:rsidRPr="0030718B" w:rsidTr="008B31D4">
        <w:tc>
          <w:tcPr>
            <w:tcW w:w="3385" w:type="dxa"/>
            <w:vMerge w:val="restart"/>
            <w:shd w:val="clear" w:color="auto" w:fill="auto"/>
            <w:vAlign w:val="center"/>
          </w:tcPr>
          <w:p w:rsidR="003A548B" w:rsidRPr="0030718B" w:rsidRDefault="003A548B" w:rsidP="008B31D4">
            <w:pPr>
              <w:spacing w:line="360" w:lineRule="auto"/>
              <w:jc w:val="center"/>
              <w:rPr>
                <w:rFonts w:ascii="Verdana" w:hAnsi="Verdana"/>
                <w:b/>
                <w:sz w:val="20"/>
                <w:u w:val="single"/>
              </w:rPr>
            </w:pPr>
            <w:r w:rsidRPr="0030718B">
              <w:rPr>
                <w:rFonts w:ascii="Verdana" w:hAnsi="Verdana"/>
                <w:b/>
                <w:sz w:val="20"/>
                <w:u w:val="single"/>
              </w:rPr>
              <w:t>Adozione/aggiornamento</w:t>
            </w:r>
          </w:p>
        </w:tc>
        <w:tc>
          <w:tcPr>
            <w:tcW w:w="1968" w:type="dxa"/>
            <w:shd w:val="clear" w:color="auto" w:fill="auto"/>
            <w:vAlign w:val="center"/>
          </w:tcPr>
          <w:p w:rsidR="003A548B" w:rsidRPr="0030718B" w:rsidRDefault="003A548B" w:rsidP="008B31D4">
            <w:pPr>
              <w:spacing w:line="360" w:lineRule="auto"/>
              <w:jc w:val="center"/>
              <w:rPr>
                <w:rFonts w:ascii="Verdana" w:hAnsi="Verdana"/>
                <w:sz w:val="20"/>
              </w:rPr>
            </w:pPr>
            <w:r w:rsidRPr="0030718B">
              <w:rPr>
                <w:rFonts w:ascii="Verdana" w:hAnsi="Verdana"/>
                <w:sz w:val="20"/>
              </w:rPr>
              <w:t>30 Dicembre 2011</w:t>
            </w:r>
          </w:p>
        </w:tc>
        <w:tc>
          <w:tcPr>
            <w:tcW w:w="2552" w:type="dxa"/>
            <w:shd w:val="clear" w:color="auto" w:fill="auto"/>
            <w:vAlign w:val="center"/>
          </w:tcPr>
          <w:p w:rsidR="003A548B" w:rsidRPr="0030718B" w:rsidRDefault="003A548B" w:rsidP="008B31D4">
            <w:pPr>
              <w:spacing w:line="360" w:lineRule="auto"/>
              <w:jc w:val="center"/>
              <w:rPr>
                <w:rFonts w:ascii="Verdana" w:hAnsi="Verdana"/>
                <w:b/>
                <w:sz w:val="20"/>
              </w:rPr>
            </w:pPr>
            <w:r w:rsidRPr="0030718B">
              <w:rPr>
                <w:rFonts w:ascii="Verdana" w:hAnsi="Verdana"/>
                <w:b/>
                <w:sz w:val="20"/>
              </w:rPr>
              <w:t>Governatore</w:t>
            </w:r>
          </w:p>
          <w:p w:rsidR="003A548B" w:rsidRPr="0030718B" w:rsidRDefault="003A548B" w:rsidP="008B31D4">
            <w:pPr>
              <w:spacing w:line="360" w:lineRule="auto"/>
              <w:jc w:val="center"/>
              <w:rPr>
                <w:rFonts w:ascii="Verdana" w:hAnsi="Verdana"/>
                <w:sz w:val="20"/>
              </w:rPr>
            </w:pPr>
            <w:r w:rsidRPr="0030718B">
              <w:rPr>
                <w:rFonts w:ascii="Verdana" w:hAnsi="Verdana"/>
                <w:sz w:val="20"/>
              </w:rPr>
              <w:t xml:space="preserve">tramite </w:t>
            </w:r>
          </w:p>
          <w:p w:rsidR="003A548B" w:rsidRPr="0030718B" w:rsidRDefault="003A548B" w:rsidP="008B31D4">
            <w:pPr>
              <w:spacing w:line="360" w:lineRule="auto"/>
              <w:jc w:val="center"/>
              <w:rPr>
                <w:rFonts w:ascii="Verdana" w:hAnsi="Verdana"/>
                <w:sz w:val="20"/>
              </w:rPr>
            </w:pPr>
            <w:r w:rsidRPr="0030718B">
              <w:rPr>
                <w:rFonts w:ascii="Verdana" w:hAnsi="Verdana"/>
                <w:sz w:val="20"/>
              </w:rPr>
              <w:t>Delibera n. 310</w:t>
            </w:r>
          </w:p>
        </w:tc>
        <w:tc>
          <w:tcPr>
            <w:tcW w:w="1949" w:type="dxa"/>
            <w:shd w:val="clear" w:color="auto" w:fill="auto"/>
            <w:vAlign w:val="center"/>
          </w:tcPr>
          <w:p w:rsidR="003A548B" w:rsidRPr="0030718B" w:rsidRDefault="003A548B" w:rsidP="008B31D4">
            <w:pPr>
              <w:spacing w:line="360" w:lineRule="auto"/>
              <w:jc w:val="center"/>
              <w:rPr>
                <w:rFonts w:ascii="Verdana" w:hAnsi="Verdana"/>
                <w:sz w:val="20"/>
              </w:rPr>
            </w:pPr>
            <w:r w:rsidRPr="0030718B">
              <w:rPr>
                <w:rFonts w:ascii="Verdana" w:hAnsi="Verdana"/>
                <w:sz w:val="20"/>
              </w:rPr>
              <w:t>Adozione</w:t>
            </w:r>
          </w:p>
        </w:tc>
      </w:tr>
      <w:tr w:rsidR="003A548B" w:rsidRPr="0030718B" w:rsidTr="008B31D4">
        <w:tc>
          <w:tcPr>
            <w:tcW w:w="3385" w:type="dxa"/>
            <w:vMerge/>
            <w:shd w:val="clear" w:color="auto" w:fill="auto"/>
          </w:tcPr>
          <w:p w:rsidR="003A548B" w:rsidRPr="0030718B" w:rsidRDefault="003A548B" w:rsidP="008B31D4">
            <w:pPr>
              <w:spacing w:line="360" w:lineRule="auto"/>
              <w:jc w:val="center"/>
              <w:rPr>
                <w:rFonts w:ascii="Verdana" w:hAnsi="Verdana"/>
                <w:sz w:val="20"/>
              </w:rPr>
            </w:pPr>
          </w:p>
        </w:tc>
        <w:tc>
          <w:tcPr>
            <w:tcW w:w="1968" w:type="dxa"/>
            <w:shd w:val="clear" w:color="auto" w:fill="auto"/>
            <w:vAlign w:val="center"/>
          </w:tcPr>
          <w:p w:rsidR="003A548B" w:rsidRPr="0030718B" w:rsidRDefault="003A548B" w:rsidP="008B31D4">
            <w:pPr>
              <w:spacing w:line="360" w:lineRule="auto"/>
              <w:jc w:val="center"/>
              <w:rPr>
                <w:rFonts w:ascii="Verdana" w:hAnsi="Verdana"/>
                <w:sz w:val="20"/>
              </w:rPr>
            </w:pPr>
            <w:r w:rsidRPr="0030718B">
              <w:rPr>
                <w:rFonts w:ascii="Verdana" w:hAnsi="Verdana"/>
                <w:sz w:val="20"/>
              </w:rPr>
              <w:t xml:space="preserve">30 Luglio </w:t>
            </w:r>
          </w:p>
          <w:p w:rsidR="003A548B" w:rsidRPr="0030718B" w:rsidRDefault="003A548B" w:rsidP="008B31D4">
            <w:pPr>
              <w:spacing w:line="360" w:lineRule="auto"/>
              <w:jc w:val="center"/>
              <w:rPr>
                <w:rFonts w:ascii="Verdana" w:hAnsi="Verdana"/>
                <w:sz w:val="20"/>
              </w:rPr>
            </w:pPr>
            <w:r w:rsidRPr="0030718B">
              <w:rPr>
                <w:rFonts w:ascii="Verdana" w:hAnsi="Verdana"/>
                <w:sz w:val="20"/>
              </w:rPr>
              <w:t>2013</w:t>
            </w:r>
          </w:p>
        </w:tc>
        <w:tc>
          <w:tcPr>
            <w:tcW w:w="2552" w:type="dxa"/>
            <w:shd w:val="clear" w:color="auto" w:fill="auto"/>
            <w:vAlign w:val="center"/>
          </w:tcPr>
          <w:p w:rsidR="003A548B" w:rsidRPr="0030718B" w:rsidRDefault="003A548B" w:rsidP="008B31D4">
            <w:pPr>
              <w:spacing w:line="360" w:lineRule="auto"/>
              <w:jc w:val="center"/>
              <w:rPr>
                <w:rFonts w:ascii="Verdana" w:hAnsi="Verdana"/>
                <w:b/>
                <w:sz w:val="20"/>
              </w:rPr>
            </w:pPr>
            <w:r w:rsidRPr="0030718B">
              <w:rPr>
                <w:rFonts w:ascii="Verdana" w:hAnsi="Verdana"/>
                <w:b/>
                <w:sz w:val="20"/>
              </w:rPr>
              <w:t>Governatore</w:t>
            </w:r>
          </w:p>
          <w:p w:rsidR="003A548B" w:rsidRPr="0030718B" w:rsidRDefault="003A548B" w:rsidP="008B31D4">
            <w:pPr>
              <w:spacing w:line="360" w:lineRule="auto"/>
              <w:jc w:val="center"/>
              <w:rPr>
                <w:rFonts w:ascii="Verdana" w:hAnsi="Verdana"/>
                <w:sz w:val="20"/>
              </w:rPr>
            </w:pPr>
            <w:r w:rsidRPr="0030718B">
              <w:rPr>
                <w:rFonts w:ascii="Verdana" w:hAnsi="Verdana"/>
                <w:sz w:val="20"/>
              </w:rPr>
              <w:t xml:space="preserve">tramite </w:t>
            </w:r>
          </w:p>
          <w:p w:rsidR="003A548B" w:rsidRPr="0030718B" w:rsidRDefault="003A548B" w:rsidP="008B31D4">
            <w:pPr>
              <w:spacing w:line="360" w:lineRule="auto"/>
              <w:jc w:val="center"/>
              <w:rPr>
                <w:rFonts w:ascii="Verdana" w:hAnsi="Verdana"/>
                <w:sz w:val="20"/>
              </w:rPr>
            </w:pPr>
            <w:r w:rsidRPr="0030718B">
              <w:rPr>
                <w:rFonts w:ascii="Verdana" w:hAnsi="Verdana"/>
                <w:sz w:val="20"/>
              </w:rPr>
              <w:t>Delibera n. 130</w:t>
            </w:r>
          </w:p>
        </w:tc>
        <w:tc>
          <w:tcPr>
            <w:tcW w:w="1949" w:type="dxa"/>
            <w:shd w:val="clear" w:color="auto" w:fill="auto"/>
            <w:vAlign w:val="center"/>
          </w:tcPr>
          <w:p w:rsidR="003A548B" w:rsidRPr="0030718B" w:rsidRDefault="003A548B" w:rsidP="008B31D4">
            <w:pPr>
              <w:spacing w:line="360" w:lineRule="auto"/>
              <w:jc w:val="center"/>
              <w:rPr>
                <w:rFonts w:ascii="Verdana" w:hAnsi="Verdana"/>
                <w:sz w:val="20"/>
              </w:rPr>
            </w:pPr>
            <w:r w:rsidRPr="0030718B">
              <w:rPr>
                <w:rFonts w:ascii="Verdana" w:hAnsi="Verdana"/>
                <w:sz w:val="20"/>
              </w:rPr>
              <w:t>Aggiornamento</w:t>
            </w:r>
          </w:p>
        </w:tc>
      </w:tr>
      <w:tr w:rsidR="003A548B" w:rsidRPr="0030718B" w:rsidTr="008B31D4">
        <w:trPr>
          <w:trHeight w:val="927"/>
        </w:trPr>
        <w:tc>
          <w:tcPr>
            <w:tcW w:w="3385" w:type="dxa"/>
            <w:vMerge/>
            <w:shd w:val="clear" w:color="auto" w:fill="auto"/>
          </w:tcPr>
          <w:p w:rsidR="003A548B" w:rsidRPr="0030718B" w:rsidRDefault="003A548B" w:rsidP="008B31D4">
            <w:pPr>
              <w:spacing w:line="360" w:lineRule="auto"/>
              <w:jc w:val="center"/>
              <w:rPr>
                <w:rFonts w:ascii="Verdana" w:hAnsi="Verdana"/>
                <w:sz w:val="20"/>
              </w:rPr>
            </w:pPr>
          </w:p>
        </w:tc>
        <w:tc>
          <w:tcPr>
            <w:tcW w:w="1968" w:type="dxa"/>
            <w:shd w:val="clear" w:color="auto" w:fill="auto"/>
            <w:vAlign w:val="center"/>
          </w:tcPr>
          <w:p w:rsidR="003A548B" w:rsidRPr="0030718B" w:rsidRDefault="003A548B" w:rsidP="008B31D4">
            <w:pPr>
              <w:spacing w:line="360" w:lineRule="auto"/>
              <w:jc w:val="center"/>
              <w:rPr>
                <w:rFonts w:ascii="Verdana" w:hAnsi="Verdana"/>
                <w:sz w:val="20"/>
              </w:rPr>
            </w:pPr>
            <w:r w:rsidRPr="0030718B">
              <w:rPr>
                <w:rFonts w:ascii="Verdana" w:hAnsi="Verdana"/>
                <w:sz w:val="20"/>
              </w:rPr>
              <w:t xml:space="preserve">09 Aprile </w:t>
            </w:r>
          </w:p>
          <w:p w:rsidR="003A548B" w:rsidRPr="0030718B" w:rsidRDefault="003A548B" w:rsidP="008B31D4">
            <w:pPr>
              <w:spacing w:line="360" w:lineRule="auto"/>
              <w:jc w:val="center"/>
              <w:rPr>
                <w:rFonts w:ascii="Verdana" w:hAnsi="Verdana"/>
                <w:sz w:val="20"/>
              </w:rPr>
            </w:pPr>
            <w:r w:rsidRPr="0030718B">
              <w:rPr>
                <w:rFonts w:ascii="Verdana" w:hAnsi="Verdana"/>
                <w:sz w:val="20"/>
              </w:rPr>
              <w:t>2015</w:t>
            </w:r>
          </w:p>
        </w:tc>
        <w:tc>
          <w:tcPr>
            <w:tcW w:w="2552" w:type="dxa"/>
            <w:shd w:val="clear" w:color="auto" w:fill="auto"/>
            <w:vAlign w:val="center"/>
          </w:tcPr>
          <w:p w:rsidR="003A548B" w:rsidRPr="0030718B" w:rsidRDefault="003A548B" w:rsidP="008B31D4">
            <w:pPr>
              <w:spacing w:line="360" w:lineRule="auto"/>
              <w:jc w:val="center"/>
              <w:rPr>
                <w:rFonts w:ascii="Verdana" w:hAnsi="Verdana"/>
                <w:b/>
                <w:sz w:val="20"/>
              </w:rPr>
            </w:pPr>
            <w:r w:rsidRPr="0030718B">
              <w:rPr>
                <w:rFonts w:ascii="Verdana" w:hAnsi="Verdana"/>
                <w:b/>
                <w:sz w:val="20"/>
              </w:rPr>
              <w:t>Governatore</w:t>
            </w:r>
          </w:p>
          <w:p w:rsidR="003A548B" w:rsidRPr="0030718B" w:rsidRDefault="003A548B" w:rsidP="008B31D4">
            <w:pPr>
              <w:spacing w:line="360" w:lineRule="auto"/>
              <w:jc w:val="center"/>
              <w:rPr>
                <w:rFonts w:ascii="Verdana" w:hAnsi="Verdana"/>
                <w:sz w:val="20"/>
              </w:rPr>
            </w:pPr>
            <w:r w:rsidRPr="0030718B">
              <w:rPr>
                <w:rFonts w:ascii="Verdana" w:hAnsi="Verdana"/>
                <w:sz w:val="20"/>
              </w:rPr>
              <w:t xml:space="preserve">tramite </w:t>
            </w:r>
          </w:p>
          <w:p w:rsidR="003A548B" w:rsidRPr="0030718B" w:rsidRDefault="003A548B" w:rsidP="008B31D4">
            <w:pPr>
              <w:spacing w:line="360" w:lineRule="auto"/>
              <w:jc w:val="center"/>
              <w:rPr>
                <w:rFonts w:ascii="Verdana" w:hAnsi="Verdana"/>
                <w:sz w:val="20"/>
              </w:rPr>
            </w:pPr>
            <w:r w:rsidRPr="0030718B">
              <w:rPr>
                <w:rFonts w:ascii="Verdana" w:hAnsi="Verdana"/>
                <w:sz w:val="20"/>
              </w:rPr>
              <w:t>Delibera n. 31</w:t>
            </w:r>
          </w:p>
        </w:tc>
        <w:tc>
          <w:tcPr>
            <w:tcW w:w="1949" w:type="dxa"/>
            <w:shd w:val="clear" w:color="auto" w:fill="auto"/>
            <w:vAlign w:val="center"/>
          </w:tcPr>
          <w:p w:rsidR="003A548B" w:rsidRPr="0030718B" w:rsidRDefault="003A548B" w:rsidP="008B31D4">
            <w:pPr>
              <w:spacing w:line="360" w:lineRule="auto"/>
              <w:jc w:val="center"/>
              <w:rPr>
                <w:rFonts w:ascii="Verdana" w:hAnsi="Verdana"/>
                <w:sz w:val="20"/>
              </w:rPr>
            </w:pPr>
            <w:r w:rsidRPr="0030718B">
              <w:rPr>
                <w:rFonts w:ascii="Verdana" w:hAnsi="Verdana"/>
                <w:sz w:val="20"/>
              </w:rPr>
              <w:t>Aggiornamento</w:t>
            </w:r>
          </w:p>
        </w:tc>
      </w:tr>
    </w:tbl>
    <w:p w:rsidR="003A548B" w:rsidRPr="003B3E03" w:rsidRDefault="003A548B" w:rsidP="003A548B">
      <w:pPr>
        <w:spacing w:line="360" w:lineRule="auto"/>
        <w:jc w:val="center"/>
        <w:rPr>
          <w:rFonts w:ascii="Verdana" w:hAnsi="Verdana"/>
          <w:b/>
          <w:sz w:val="22"/>
          <w:szCs w:val="22"/>
        </w:rPr>
      </w:pPr>
    </w:p>
    <w:p w:rsidR="00EC0ED1" w:rsidRPr="008E79C5" w:rsidRDefault="00EC0ED1">
      <w:pPr>
        <w:spacing w:line="360" w:lineRule="auto"/>
        <w:jc w:val="center"/>
        <w:rPr>
          <w:rFonts w:ascii="Verdana" w:hAnsi="Verdana" w:cs="Arial"/>
          <w:sz w:val="22"/>
          <w:szCs w:val="22"/>
        </w:rPr>
      </w:pPr>
    </w:p>
    <w:p w:rsidR="00EC0ED1" w:rsidRPr="00FC3C5A" w:rsidRDefault="00EC0ED1">
      <w:pPr>
        <w:spacing w:line="360" w:lineRule="auto"/>
        <w:jc w:val="both"/>
        <w:rPr>
          <w:rFonts w:ascii="Verdana" w:hAnsi="Verdana" w:cs="Arial"/>
          <w:szCs w:val="24"/>
        </w:rPr>
      </w:pPr>
      <w:r>
        <w:rPr>
          <w:rFonts w:ascii="Verdana" w:hAnsi="Verdana" w:cs="Arial"/>
          <w:sz w:val="22"/>
          <w:szCs w:val="22"/>
        </w:rPr>
        <w:br w:type="page"/>
      </w:r>
      <w:r w:rsidRPr="00FC3C5A">
        <w:rPr>
          <w:rFonts w:ascii="Verdana" w:hAnsi="Verdana" w:cs="Arial"/>
          <w:b/>
          <w:szCs w:val="24"/>
        </w:rPr>
        <w:lastRenderedPageBreak/>
        <w:t>Indice</w:t>
      </w:r>
    </w:p>
    <w:p w:rsidR="00EC0ED1" w:rsidRPr="00F63D51" w:rsidRDefault="00EC0ED1" w:rsidP="00F63D51">
      <w:pPr>
        <w:spacing w:line="360" w:lineRule="auto"/>
        <w:jc w:val="both"/>
        <w:rPr>
          <w:rFonts w:ascii="Verdana" w:hAnsi="Verdana" w:cs="Arial"/>
          <w:sz w:val="22"/>
          <w:szCs w:val="22"/>
        </w:rPr>
      </w:pPr>
    </w:p>
    <w:p w:rsidR="00B0129C" w:rsidRPr="00B0129C" w:rsidRDefault="00392729" w:rsidP="00B0129C">
      <w:pPr>
        <w:pStyle w:val="TOC1"/>
        <w:rPr>
          <w:rFonts w:asciiTheme="minorHAnsi" w:eastAsiaTheme="minorEastAsia" w:hAnsiTheme="minorHAnsi" w:cstheme="minorBidi"/>
          <w:noProof/>
          <w:sz w:val="22"/>
          <w:szCs w:val="22"/>
        </w:rPr>
      </w:pPr>
      <w:r w:rsidRPr="00FC1060">
        <w:rPr>
          <w:rFonts w:ascii="Verdana" w:hAnsi="Verdana" w:cs="Arial"/>
          <w:sz w:val="22"/>
          <w:szCs w:val="22"/>
        </w:rPr>
        <w:fldChar w:fldCharType="begin"/>
      </w:r>
      <w:r w:rsidR="00EC0ED1" w:rsidRPr="00FC1060">
        <w:rPr>
          <w:rFonts w:ascii="Verdana" w:hAnsi="Verdana" w:cs="Arial"/>
          <w:sz w:val="22"/>
          <w:szCs w:val="22"/>
        </w:rPr>
        <w:instrText xml:space="preserve"> TOC \o "1-5" \h \z \u </w:instrText>
      </w:r>
      <w:r w:rsidRPr="00FC1060">
        <w:rPr>
          <w:rFonts w:ascii="Verdana" w:hAnsi="Verdana" w:cs="Arial"/>
          <w:sz w:val="22"/>
          <w:szCs w:val="22"/>
        </w:rPr>
        <w:fldChar w:fldCharType="separate"/>
      </w:r>
      <w:hyperlink w:anchor="_Toc421885306" w:history="1">
        <w:r w:rsidR="00B0129C" w:rsidRPr="00B0129C">
          <w:rPr>
            <w:rStyle w:val="Hyperlink"/>
            <w:rFonts w:ascii="Verdana" w:hAnsi="Verdana"/>
            <w:noProof/>
            <w:sz w:val="22"/>
            <w:szCs w:val="22"/>
          </w:rPr>
          <w:t>1. Funzione della Parte Speci</w:t>
        </w:r>
        <w:bookmarkStart w:id="0" w:name="_GoBack"/>
        <w:bookmarkEnd w:id="0"/>
        <w:r w:rsidR="00B0129C" w:rsidRPr="00B0129C">
          <w:rPr>
            <w:rStyle w:val="Hyperlink"/>
            <w:rFonts w:ascii="Verdana" w:hAnsi="Verdana"/>
            <w:noProof/>
            <w:sz w:val="22"/>
            <w:szCs w:val="22"/>
          </w:rPr>
          <w:t>ale D</w:t>
        </w:r>
        <w:r w:rsidR="00B0129C" w:rsidRPr="00B0129C">
          <w:rPr>
            <w:noProof/>
            <w:webHidden/>
            <w:sz w:val="22"/>
            <w:szCs w:val="22"/>
          </w:rPr>
          <w:tab/>
        </w:r>
        <w:r w:rsidR="00B0129C" w:rsidRPr="00B0129C">
          <w:rPr>
            <w:noProof/>
            <w:webHidden/>
            <w:sz w:val="22"/>
            <w:szCs w:val="22"/>
          </w:rPr>
          <w:fldChar w:fldCharType="begin"/>
        </w:r>
        <w:r w:rsidR="00B0129C" w:rsidRPr="00B0129C">
          <w:rPr>
            <w:noProof/>
            <w:webHidden/>
            <w:sz w:val="22"/>
            <w:szCs w:val="22"/>
          </w:rPr>
          <w:instrText xml:space="preserve"> PAGEREF _Toc421885306 \h </w:instrText>
        </w:r>
        <w:r w:rsidR="00B0129C" w:rsidRPr="00B0129C">
          <w:rPr>
            <w:noProof/>
            <w:webHidden/>
            <w:sz w:val="22"/>
            <w:szCs w:val="22"/>
          </w:rPr>
        </w:r>
        <w:r w:rsidR="00B0129C" w:rsidRPr="00B0129C">
          <w:rPr>
            <w:noProof/>
            <w:webHidden/>
            <w:sz w:val="22"/>
            <w:szCs w:val="22"/>
          </w:rPr>
          <w:fldChar w:fldCharType="separate"/>
        </w:r>
        <w:r w:rsidR="00B0129C" w:rsidRPr="00B0129C">
          <w:rPr>
            <w:noProof/>
            <w:webHidden/>
            <w:sz w:val="22"/>
            <w:szCs w:val="22"/>
          </w:rPr>
          <w:t>2</w:t>
        </w:r>
        <w:r w:rsidR="00B0129C" w:rsidRPr="00B0129C">
          <w:rPr>
            <w:noProof/>
            <w:webHidden/>
            <w:sz w:val="22"/>
            <w:szCs w:val="22"/>
          </w:rPr>
          <w:fldChar w:fldCharType="end"/>
        </w:r>
      </w:hyperlink>
    </w:p>
    <w:p w:rsidR="00B0129C" w:rsidRPr="00B0129C" w:rsidRDefault="00B0129C" w:rsidP="00B0129C">
      <w:pPr>
        <w:pStyle w:val="TOC1"/>
        <w:rPr>
          <w:rFonts w:asciiTheme="minorHAnsi" w:eastAsiaTheme="minorEastAsia" w:hAnsiTheme="minorHAnsi" w:cstheme="minorBidi"/>
          <w:noProof/>
          <w:sz w:val="22"/>
          <w:szCs w:val="22"/>
        </w:rPr>
      </w:pPr>
      <w:hyperlink w:anchor="_Toc421885307" w:history="1">
        <w:r w:rsidRPr="00B0129C">
          <w:rPr>
            <w:rStyle w:val="Hyperlink"/>
            <w:rFonts w:ascii="Verdana" w:hAnsi="Verdana"/>
            <w:noProof/>
            <w:sz w:val="22"/>
            <w:szCs w:val="22"/>
          </w:rPr>
          <w:t>2. Le fattispecie di reato previste dall’Articolo 25-</w:t>
        </w:r>
        <w:r w:rsidRPr="00B0129C">
          <w:rPr>
            <w:rStyle w:val="Hyperlink"/>
            <w:rFonts w:ascii="Verdana" w:hAnsi="Verdana"/>
            <w:i/>
            <w:noProof/>
            <w:sz w:val="22"/>
            <w:szCs w:val="22"/>
          </w:rPr>
          <w:t>ter</w:t>
        </w:r>
        <w:r w:rsidRPr="00B0129C">
          <w:rPr>
            <w:rStyle w:val="Hyperlink"/>
            <w:rFonts w:ascii="Verdana" w:hAnsi="Verdana"/>
            <w:noProof/>
            <w:sz w:val="22"/>
            <w:szCs w:val="22"/>
          </w:rPr>
          <w:t>, D.Lgs. n. 231/2001</w:t>
        </w:r>
        <w:r w:rsidRPr="00B0129C">
          <w:rPr>
            <w:noProof/>
            <w:webHidden/>
            <w:sz w:val="22"/>
            <w:szCs w:val="22"/>
          </w:rPr>
          <w:tab/>
        </w:r>
        <w:r w:rsidRPr="00B0129C">
          <w:rPr>
            <w:noProof/>
            <w:webHidden/>
            <w:sz w:val="22"/>
            <w:szCs w:val="22"/>
          </w:rPr>
          <w:fldChar w:fldCharType="begin"/>
        </w:r>
        <w:r w:rsidRPr="00B0129C">
          <w:rPr>
            <w:noProof/>
            <w:webHidden/>
            <w:sz w:val="22"/>
            <w:szCs w:val="22"/>
          </w:rPr>
          <w:instrText xml:space="preserve"> PAGEREF _Toc421885307 \h </w:instrText>
        </w:r>
        <w:r w:rsidRPr="00B0129C">
          <w:rPr>
            <w:noProof/>
            <w:webHidden/>
            <w:sz w:val="22"/>
            <w:szCs w:val="22"/>
          </w:rPr>
        </w:r>
        <w:r w:rsidRPr="00B0129C">
          <w:rPr>
            <w:noProof/>
            <w:webHidden/>
            <w:sz w:val="22"/>
            <w:szCs w:val="22"/>
          </w:rPr>
          <w:fldChar w:fldCharType="separate"/>
        </w:r>
        <w:r w:rsidRPr="00B0129C">
          <w:rPr>
            <w:noProof/>
            <w:webHidden/>
            <w:sz w:val="22"/>
            <w:szCs w:val="22"/>
          </w:rPr>
          <w:t>2</w:t>
        </w:r>
        <w:r w:rsidRPr="00B0129C">
          <w:rPr>
            <w:noProof/>
            <w:webHidden/>
            <w:sz w:val="22"/>
            <w:szCs w:val="22"/>
          </w:rPr>
          <w:fldChar w:fldCharType="end"/>
        </w:r>
      </w:hyperlink>
    </w:p>
    <w:p w:rsidR="00B0129C" w:rsidRPr="00B0129C" w:rsidRDefault="00B0129C" w:rsidP="00B0129C">
      <w:pPr>
        <w:pStyle w:val="TOC1"/>
        <w:rPr>
          <w:rFonts w:asciiTheme="minorHAnsi" w:eastAsiaTheme="minorEastAsia" w:hAnsiTheme="minorHAnsi" w:cstheme="minorBidi"/>
          <w:noProof/>
          <w:sz w:val="22"/>
          <w:szCs w:val="22"/>
        </w:rPr>
      </w:pPr>
      <w:hyperlink w:anchor="_Toc421885308" w:history="1">
        <w:r w:rsidRPr="00B0129C">
          <w:rPr>
            <w:rStyle w:val="Hyperlink"/>
            <w:rFonts w:ascii="Verdana" w:hAnsi="Verdana"/>
            <w:noProof/>
            <w:sz w:val="22"/>
            <w:szCs w:val="22"/>
          </w:rPr>
          <w:t>3. Le potenziali aree a rischio reato - Le Attività Sensibili</w:t>
        </w:r>
        <w:r w:rsidRPr="00B0129C">
          <w:rPr>
            <w:noProof/>
            <w:webHidden/>
            <w:sz w:val="22"/>
            <w:szCs w:val="22"/>
          </w:rPr>
          <w:tab/>
        </w:r>
        <w:r w:rsidRPr="00B0129C">
          <w:rPr>
            <w:noProof/>
            <w:webHidden/>
            <w:sz w:val="22"/>
            <w:szCs w:val="22"/>
          </w:rPr>
          <w:fldChar w:fldCharType="begin"/>
        </w:r>
        <w:r w:rsidRPr="00B0129C">
          <w:rPr>
            <w:noProof/>
            <w:webHidden/>
            <w:sz w:val="22"/>
            <w:szCs w:val="22"/>
          </w:rPr>
          <w:instrText xml:space="preserve"> PAGEREF _Toc421885308 \h </w:instrText>
        </w:r>
        <w:r w:rsidRPr="00B0129C">
          <w:rPr>
            <w:noProof/>
            <w:webHidden/>
            <w:sz w:val="22"/>
            <w:szCs w:val="22"/>
          </w:rPr>
        </w:r>
        <w:r w:rsidRPr="00B0129C">
          <w:rPr>
            <w:noProof/>
            <w:webHidden/>
            <w:sz w:val="22"/>
            <w:szCs w:val="22"/>
          </w:rPr>
          <w:fldChar w:fldCharType="separate"/>
        </w:r>
        <w:r w:rsidRPr="00B0129C">
          <w:rPr>
            <w:noProof/>
            <w:webHidden/>
            <w:sz w:val="22"/>
            <w:szCs w:val="22"/>
          </w:rPr>
          <w:t>8</w:t>
        </w:r>
        <w:r w:rsidRPr="00B0129C">
          <w:rPr>
            <w:noProof/>
            <w:webHidden/>
            <w:sz w:val="22"/>
            <w:szCs w:val="22"/>
          </w:rPr>
          <w:fldChar w:fldCharType="end"/>
        </w:r>
      </w:hyperlink>
    </w:p>
    <w:p w:rsidR="00B0129C" w:rsidRPr="00B0129C" w:rsidRDefault="00B0129C" w:rsidP="00B0129C">
      <w:pPr>
        <w:pStyle w:val="TOC1"/>
        <w:rPr>
          <w:rFonts w:asciiTheme="minorHAnsi" w:eastAsiaTheme="minorEastAsia" w:hAnsiTheme="minorHAnsi" w:cstheme="minorBidi"/>
          <w:noProof/>
          <w:sz w:val="22"/>
          <w:szCs w:val="22"/>
        </w:rPr>
      </w:pPr>
      <w:hyperlink w:anchor="_Toc421885309" w:history="1">
        <w:r w:rsidRPr="00B0129C">
          <w:rPr>
            <w:rStyle w:val="Hyperlink"/>
            <w:rFonts w:ascii="Verdana" w:hAnsi="Verdana"/>
            <w:noProof/>
            <w:sz w:val="22"/>
            <w:szCs w:val="22"/>
          </w:rPr>
          <w:t>4. Principi generali di comportamento e punti di controllo</w:t>
        </w:r>
        <w:r w:rsidRPr="00B0129C">
          <w:rPr>
            <w:noProof/>
            <w:webHidden/>
            <w:sz w:val="22"/>
            <w:szCs w:val="22"/>
          </w:rPr>
          <w:tab/>
        </w:r>
        <w:r w:rsidRPr="00B0129C">
          <w:rPr>
            <w:noProof/>
            <w:webHidden/>
            <w:sz w:val="22"/>
            <w:szCs w:val="22"/>
          </w:rPr>
          <w:fldChar w:fldCharType="begin"/>
        </w:r>
        <w:r w:rsidRPr="00B0129C">
          <w:rPr>
            <w:noProof/>
            <w:webHidden/>
            <w:sz w:val="22"/>
            <w:szCs w:val="22"/>
          </w:rPr>
          <w:instrText xml:space="preserve"> PAGEREF _Toc421885309 \h </w:instrText>
        </w:r>
        <w:r w:rsidRPr="00B0129C">
          <w:rPr>
            <w:noProof/>
            <w:webHidden/>
            <w:sz w:val="22"/>
            <w:szCs w:val="22"/>
          </w:rPr>
        </w:r>
        <w:r w:rsidRPr="00B0129C">
          <w:rPr>
            <w:noProof/>
            <w:webHidden/>
            <w:sz w:val="22"/>
            <w:szCs w:val="22"/>
          </w:rPr>
          <w:fldChar w:fldCharType="separate"/>
        </w:r>
        <w:r w:rsidRPr="00B0129C">
          <w:rPr>
            <w:noProof/>
            <w:webHidden/>
            <w:sz w:val="22"/>
            <w:szCs w:val="22"/>
          </w:rPr>
          <w:t>10</w:t>
        </w:r>
        <w:r w:rsidRPr="00B0129C">
          <w:rPr>
            <w:noProof/>
            <w:webHidden/>
            <w:sz w:val="22"/>
            <w:szCs w:val="22"/>
          </w:rPr>
          <w:fldChar w:fldCharType="end"/>
        </w:r>
      </w:hyperlink>
    </w:p>
    <w:p w:rsidR="00B0129C" w:rsidRPr="00B0129C" w:rsidRDefault="00B0129C" w:rsidP="00B0129C">
      <w:pPr>
        <w:pStyle w:val="TOC1"/>
        <w:rPr>
          <w:rFonts w:asciiTheme="minorHAnsi" w:eastAsiaTheme="minorEastAsia" w:hAnsiTheme="minorHAnsi" w:cstheme="minorBidi"/>
          <w:noProof/>
          <w:sz w:val="22"/>
          <w:szCs w:val="22"/>
        </w:rPr>
      </w:pPr>
      <w:hyperlink w:anchor="_Toc421885310" w:history="1">
        <w:r w:rsidRPr="00B0129C">
          <w:rPr>
            <w:rStyle w:val="Hyperlink"/>
            <w:rFonts w:ascii="Verdana" w:hAnsi="Verdana"/>
            <w:noProof/>
            <w:sz w:val="22"/>
            <w:szCs w:val="22"/>
          </w:rPr>
          <w:t>5. Il responsabile interno</w:t>
        </w:r>
        <w:r w:rsidRPr="00B0129C">
          <w:rPr>
            <w:noProof/>
            <w:webHidden/>
            <w:sz w:val="22"/>
            <w:szCs w:val="22"/>
          </w:rPr>
          <w:tab/>
        </w:r>
        <w:r w:rsidRPr="00B0129C">
          <w:rPr>
            <w:noProof/>
            <w:webHidden/>
            <w:sz w:val="22"/>
            <w:szCs w:val="22"/>
          </w:rPr>
          <w:fldChar w:fldCharType="begin"/>
        </w:r>
        <w:r w:rsidRPr="00B0129C">
          <w:rPr>
            <w:noProof/>
            <w:webHidden/>
            <w:sz w:val="22"/>
            <w:szCs w:val="22"/>
          </w:rPr>
          <w:instrText xml:space="preserve"> PAGEREF _Toc421885310 \h </w:instrText>
        </w:r>
        <w:r w:rsidRPr="00B0129C">
          <w:rPr>
            <w:noProof/>
            <w:webHidden/>
            <w:sz w:val="22"/>
            <w:szCs w:val="22"/>
          </w:rPr>
        </w:r>
        <w:r w:rsidRPr="00B0129C">
          <w:rPr>
            <w:noProof/>
            <w:webHidden/>
            <w:sz w:val="22"/>
            <w:szCs w:val="22"/>
          </w:rPr>
          <w:fldChar w:fldCharType="separate"/>
        </w:r>
        <w:r w:rsidRPr="00B0129C">
          <w:rPr>
            <w:noProof/>
            <w:webHidden/>
            <w:sz w:val="22"/>
            <w:szCs w:val="22"/>
          </w:rPr>
          <w:t>11</w:t>
        </w:r>
        <w:r w:rsidRPr="00B0129C">
          <w:rPr>
            <w:noProof/>
            <w:webHidden/>
            <w:sz w:val="22"/>
            <w:szCs w:val="22"/>
          </w:rPr>
          <w:fldChar w:fldCharType="end"/>
        </w:r>
      </w:hyperlink>
    </w:p>
    <w:p w:rsidR="00B0129C" w:rsidRPr="00B0129C" w:rsidRDefault="00B0129C" w:rsidP="00B0129C">
      <w:pPr>
        <w:pStyle w:val="TOC1"/>
        <w:rPr>
          <w:rFonts w:asciiTheme="minorHAnsi" w:eastAsiaTheme="minorEastAsia" w:hAnsiTheme="minorHAnsi" w:cstheme="minorBidi"/>
          <w:noProof/>
          <w:sz w:val="22"/>
          <w:szCs w:val="22"/>
        </w:rPr>
      </w:pPr>
      <w:hyperlink w:anchor="_Toc421885311" w:history="1">
        <w:r w:rsidRPr="00B0129C">
          <w:rPr>
            <w:rStyle w:val="Hyperlink"/>
            <w:rFonts w:ascii="Verdana" w:hAnsi="Verdana"/>
            <w:noProof/>
            <w:sz w:val="22"/>
            <w:szCs w:val="22"/>
          </w:rPr>
          <w:t>6. I controlli dell’Organismo di Vigilanza</w:t>
        </w:r>
        <w:r w:rsidRPr="00B0129C">
          <w:rPr>
            <w:noProof/>
            <w:webHidden/>
            <w:sz w:val="22"/>
            <w:szCs w:val="22"/>
          </w:rPr>
          <w:tab/>
        </w:r>
        <w:r w:rsidRPr="00B0129C">
          <w:rPr>
            <w:noProof/>
            <w:webHidden/>
            <w:sz w:val="22"/>
            <w:szCs w:val="22"/>
          </w:rPr>
          <w:fldChar w:fldCharType="begin"/>
        </w:r>
        <w:r w:rsidRPr="00B0129C">
          <w:rPr>
            <w:noProof/>
            <w:webHidden/>
            <w:sz w:val="22"/>
            <w:szCs w:val="22"/>
          </w:rPr>
          <w:instrText xml:space="preserve"> PAGEREF _Toc421885311 \h </w:instrText>
        </w:r>
        <w:r w:rsidRPr="00B0129C">
          <w:rPr>
            <w:noProof/>
            <w:webHidden/>
            <w:sz w:val="22"/>
            <w:szCs w:val="22"/>
          </w:rPr>
        </w:r>
        <w:r w:rsidRPr="00B0129C">
          <w:rPr>
            <w:noProof/>
            <w:webHidden/>
            <w:sz w:val="22"/>
            <w:szCs w:val="22"/>
          </w:rPr>
          <w:fldChar w:fldCharType="separate"/>
        </w:r>
        <w:r w:rsidRPr="00B0129C">
          <w:rPr>
            <w:noProof/>
            <w:webHidden/>
            <w:sz w:val="22"/>
            <w:szCs w:val="22"/>
          </w:rPr>
          <w:t>12</w:t>
        </w:r>
        <w:r w:rsidRPr="00B0129C">
          <w:rPr>
            <w:noProof/>
            <w:webHidden/>
            <w:sz w:val="22"/>
            <w:szCs w:val="22"/>
          </w:rPr>
          <w:fldChar w:fldCharType="end"/>
        </w:r>
      </w:hyperlink>
    </w:p>
    <w:p w:rsidR="00EC0ED1" w:rsidRDefault="00392729" w:rsidP="00FC1060">
      <w:pPr>
        <w:spacing w:line="360" w:lineRule="auto"/>
        <w:jc w:val="both"/>
        <w:rPr>
          <w:rFonts w:ascii="Verdana" w:hAnsi="Verdana" w:cs="Arial"/>
          <w:sz w:val="22"/>
          <w:szCs w:val="22"/>
        </w:rPr>
      </w:pPr>
      <w:r w:rsidRPr="00FC1060">
        <w:rPr>
          <w:rFonts w:ascii="Verdana" w:hAnsi="Verdana" w:cs="Arial"/>
          <w:sz w:val="22"/>
          <w:szCs w:val="22"/>
        </w:rPr>
        <w:fldChar w:fldCharType="end"/>
      </w:r>
    </w:p>
    <w:p w:rsidR="00EC0ED1" w:rsidRDefault="00EC0ED1">
      <w:pPr>
        <w:pStyle w:val="Heading1"/>
        <w:rPr>
          <w:rFonts w:ascii="Verdana" w:hAnsi="Verdana"/>
          <w:szCs w:val="24"/>
        </w:rPr>
      </w:pPr>
      <w:r w:rsidRPr="00B0129C">
        <w:br w:type="page"/>
      </w:r>
      <w:bookmarkStart w:id="1" w:name="_Toc421885306"/>
      <w:r w:rsidR="00ED1418">
        <w:rPr>
          <w:rFonts w:ascii="Verdana" w:hAnsi="Verdana"/>
          <w:szCs w:val="24"/>
        </w:rPr>
        <w:lastRenderedPageBreak/>
        <w:t xml:space="preserve">1. </w:t>
      </w:r>
      <w:r>
        <w:rPr>
          <w:rFonts w:ascii="Verdana" w:hAnsi="Verdana"/>
          <w:szCs w:val="24"/>
        </w:rPr>
        <w:t xml:space="preserve">Funzione della Parte Speciale </w:t>
      </w:r>
      <w:r w:rsidR="00A92B30">
        <w:rPr>
          <w:rFonts w:ascii="Verdana" w:hAnsi="Verdana"/>
          <w:szCs w:val="24"/>
        </w:rPr>
        <w:t>D</w:t>
      </w:r>
      <w:bookmarkEnd w:id="1"/>
    </w:p>
    <w:p w:rsidR="00EC0ED1" w:rsidRDefault="00EC0ED1">
      <w:pPr>
        <w:autoSpaceDE w:val="0"/>
        <w:autoSpaceDN w:val="0"/>
        <w:adjustRightInd w:val="0"/>
        <w:spacing w:line="360" w:lineRule="auto"/>
        <w:jc w:val="both"/>
        <w:rPr>
          <w:rFonts w:ascii="Verdana" w:hAnsi="Verdana"/>
          <w:sz w:val="22"/>
          <w:szCs w:val="22"/>
        </w:rPr>
      </w:pPr>
      <w:r>
        <w:rPr>
          <w:rFonts w:ascii="Verdana" w:hAnsi="Verdana"/>
          <w:sz w:val="22"/>
          <w:szCs w:val="22"/>
        </w:rPr>
        <w:t>Obiettivo della presente Parte Speciale è che tutti i Destinatari del Modello adottino regole di condotta conformi a quanto prescritto dall’Ente al fine di prevenire il verificarsi dei reati in essa considerati.</w:t>
      </w:r>
    </w:p>
    <w:p w:rsidR="00EC0ED1" w:rsidRDefault="00EC0ED1">
      <w:pPr>
        <w:autoSpaceDE w:val="0"/>
        <w:autoSpaceDN w:val="0"/>
        <w:adjustRightInd w:val="0"/>
        <w:spacing w:line="360" w:lineRule="auto"/>
        <w:jc w:val="both"/>
        <w:rPr>
          <w:rFonts w:ascii="Verdana" w:hAnsi="Verdana"/>
          <w:sz w:val="22"/>
          <w:szCs w:val="22"/>
        </w:rPr>
      </w:pPr>
      <w:r>
        <w:rPr>
          <w:rFonts w:ascii="Verdana" w:hAnsi="Verdana"/>
          <w:sz w:val="22"/>
          <w:szCs w:val="22"/>
        </w:rPr>
        <w:t>La presente Parte Speciale ha, tra l’altro, lo scopo di:</w:t>
      </w:r>
    </w:p>
    <w:p w:rsidR="00EC0ED1" w:rsidRDefault="00EC0ED1">
      <w:pPr>
        <w:autoSpaceDE w:val="0"/>
        <w:autoSpaceDN w:val="0"/>
        <w:adjustRightInd w:val="0"/>
        <w:spacing w:line="360" w:lineRule="auto"/>
        <w:ind w:left="360" w:hanging="360"/>
        <w:jc w:val="both"/>
        <w:rPr>
          <w:rFonts w:ascii="Verdana" w:hAnsi="Verdana"/>
          <w:sz w:val="22"/>
          <w:szCs w:val="22"/>
        </w:rPr>
      </w:pPr>
      <w:r>
        <w:rPr>
          <w:rFonts w:ascii="Verdana" w:hAnsi="Verdana"/>
          <w:sz w:val="22"/>
          <w:szCs w:val="22"/>
        </w:rPr>
        <w:t>-</w:t>
      </w:r>
      <w:r>
        <w:rPr>
          <w:rFonts w:ascii="Verdana" w:hAnsi="Verdana"/>
          <w:sz w:val="22"/>
          <w:szCs w:val="22"/>
        </w:rPr>
        <w:tab/>
        <w:t>portare a conoscenza dei Destinatari le fattispecie di reato rilevanti;</w:t>
      </w:r>
    </w:p>
    <w:p w:rsidR="00EC0ED1" w:rsidRDefault="00EC0ED1" w:rsidP="0042183F">
      <w:pPr>
        <w:autoSpaceDE w:val="0"/>
        <w:autoSpaceDN w:val="0"/>
        <w:adjustRightInd w:val="0"/>
        <w:spacing w:line="360" w:lineRule="auto"/>
        <w:ind w:left="360" w:hanging="360"/>
        <w:jc w:val="both"/>
        <w:rPr>
          <w:rFonts w:ascii="Verdana" w:hAnsi="Verdana"/>
          <w:sz w:val="22"/>
          <w:szCs w:val="22"/>
        </w:rPr>
      </w:pPr>
      <w:r>
        <w:rPr>
          <w:rFonts w:ascii="Verdana" w:hAnsi="Verdana"/>
          <w:sz w:val="22"/>
          <w:szCs w:val="22"/>
        </w:rPr>
        <w:t>-</w:t>
      </w:r>
      <w:r>
        <w:rPr>
          <w:rFonts w:ascii="Verdana" w:hAnsi="Verdana"/>
          <w:sz w:val="22"/>
          <w:szCs w:val="22"/>
        </w:rPr>
        <w:tab/>
        <w:t>indicare le norme di comportamento ed i principi procedurali che i Destinatari sono chiamati ad osservare ai fini della corretta applicazione del Modello.</w:t>
      </w:r>
    </w:p>
    <w:p w:rsidR="00EC0ED1" w:rsidRDefault="00EC0ED1" w:rsidP="0042183F">
      <w:pPr>
        <w:autoSpaceDE w:val="0"/>
        <w:autoSpaceDN w:val="0"/>
        <w:adjustRightInd w:val="0"/>
        <w:spacing w:line="360" w:lineRule="auto"/>
        <w:jc w:val="both"/>
        <w:rPr>
          <w:rFonts w:ascii="Verdana" w:hAnsi="Verdana"/>
          <w:sz w:val="22"/>
          <w:szCs w:val="22"/>
        </w:rPr>
      </w:pPr>
    </w:p>
    <w:p w:rsidR="00404F5A" w:rsidRDefault="00404F5A" w:rsidP="0042183F">
      <w:pPr>
        <w:autoSpaceDE w:val="0"/>
        <w:autoSpaceDN w:val="0"/>
        <w:adjustRightInd w:val="0"/>
        <w:spacing w:line="360" w:lineRule="auto"/>
        <w:jc w:val="both"/>
        <w:rPr>
          <w:rFonts w:ascii="Verdana" w:hAnsi="Verdana"/>
          <w:sz w:val="22"/>
          <w:szCs w:val="22"/>
        </w:rPr>
      </w:pPr>
    </w:p>
    <w:p w:rsidR="00EC0ED1" w:rsidRDefault="0042183F" w:rsidP="0042183F">
      <w:pPr>
        <w:pStyle w:val="Heading1"/>
        <w:spacing w:before="0" w:after="0" w:line="360" w:lineRule="auto"/>
        <w:jc w:val="both"/>
        <w:rPr>
          <w:rFonts w:ascii="Verdana" w:hAnsi="Verdana"/>
        </w:rPr>
      </w:pPr>
      <w:bookmarkStart w:id="2" w:name="_Toc421885307"/>
      <w:r>
        <w:rPr>
          <w:rFonts w:ascii="Verdana" w:hAnsi="Verdana"/>
        </w:rPr>
        <w:t>2</w:t>
      </w:r>
      <w:r w:rsidR="00ED1418">
        <w:rPr>
          <w:rFonts w:ascii="Verdana" w:hAnsi="Verdana"/>
        </w:rPr>
        <w:t xml:space="preserve">. </w:t>
      </w:r>
      <w:r>
        <w:rPr>
          <w:rFonts w:ascii="Verdana" w:hAnsi="Verdana"/>
        </w:rPr>
        <w:t xml:space="preserve">Le fattispecie </w:t>
      </w:r>
      <w:r w:rsidRPr="0042183F">
        <w:rPr>
          <w:rFonts w:ascii="Verdana" w:hAnsi="Verdana"/>
        </w:rPr>
        <w:t>di reato previste dall’Articolo 25-</w:t>
      </w:r>
      <w:r w:rsidRPr="0042183F">
        <w:rPr>
          <w:rFonts w:ascii="Verdana" w:hAnsi="Verdana"/>
          <w:i/>
        </w:rPr>
        <w:t>ter</w:t>
      </w:r>
      <w:r w:rsidRPr="0042183F">
        <w:rPr>
          <w:rFonts w:ascii="Verdana" w:hAnsi="Verdana"/>
        </w:rPr>
        <w:t xml:space="preserve">, </w:t>
      </w:r>
      <w:proofErr w:type="spellStart"/>
      <w:r w:rsidRPr="0042183F">
        <w:rPr>
          <w:rFonts w:ascii="Verdana" w:hAnsi="Verdana"/>
        </w:rPr>
        <w:t>D.Lgs.</w:t>
      </w:r>
      <w:proofErr w:type="spellEnd"/>
      <w:r w:rsidRPr="0042183F">
        <w:rPr>
          <w:rFonts w:ascii="Verdana" w:hAnsi="Verdana"/>
        </w:rPr>
        <w:t xml:space="preserve"> n. 231</w:t>
      </w:r>
      <w:r>
        <w:rPr>
          <w:rFonts w:ascii="Verdana" w:hAnsi="Verdana"/>
        </w:rPr>
        <w:t>/2001</w:t>
      </w:r>
      <w:bookmarkEnd w:id="2"/>
    </w:p>
    <w:p w:rsidR="00A11101" w:rsidRDefault="00A11101">
      <w:pPr>
        <w:autoSpaceDE w:val="0"/>
        <w:autoSpaceDN w:val="0"/>
        <w:adjustRightInd w:val="0"/>
        <w:spacing w:line="360" w:lineRule="auto"/>
        <w:jc w:val="both"/>
        <w:rPr>
          <w:rFonts w:ascii="Verdana" w:hAnsi="Verdana"/>
          <w:sz w:val="22"/>
          <w:szCs w:val="22"/>
        </w:rPr>
      </w:pPr>
      <w:r w:rsidRPr="00A11101">
        <w:rPr>
          <w:rFonts w:ascii="Verdana" w:hAnsi="Verdana"/>
          <w:sz w:val="22"/>
          <w:szCs w:val="22"/>
        </w:rPr>
        <w:t>L’articolo 25-</w:t>
      </w:r>
      <w:r w:rsidRPr="00A11101">
        <w:rPr>
          <w:rFonts w:ascii="Verdana" w:hAnsi="Verdana"/>
          <w:i/>
          <w:sz w:val="22"/>
          <w:szCs w:val="22"/>
        </w:rPr>
        <w:t>ter</w:t>
      </w:r>
      <w:r>
        <w:rPr>
          <w:rFonts w:ascii="Verdana" w:hAnsi="Verdana"/>
          <w:sz w:val="22"/>
          <w:szCs w:val="22"/>
        </w:rPr>
        <w:t xml:space="preserve"> del </w:t>
      </w:r>
      <w:proofErr w:type="spellStart"/>
      <w:r>
        <w:rPr>
          <w:rFonts w:ascii="Verdana" w:hAnsi="Verdana"/>
          <w:sz w:val="22"/>
          <w:szCs w:val="22"/>
        </w:rPr>
        <w:t>D.Lgs.</w:t>
      </w:r>
      <w:proofErr w:type="spellEnd"/>
      <w:r>
        <w:rPr>
          <w:rFonts w:ascii="Verdana" w:hAnsi="Verdana"/>
          <w:sz w:val="22"/>
          <w:szCs w:val="22"/>
        </w:rPr>
        <w:t xml:space="preserve"> n. 231/</w:t>
      </w:r>
      <w:r w:rsidRPr="00A11101">
        <w:rPr>
          <w:rFonts w:ascii="Verdana" w:hAnsi="Verdana"/>
          <w:sz w:val="22"/>
          <w:szCs w:val="22"/>
        </w:rPr>
        <w:t xml:space="preserve">2001, introdotto dal D. </w:t>
      </w:r>
      <w:proofErr w:type="spellStart"/>
      <w:r w:rsidRPr="00A11101">
        <w:rPr>
          <w:rFonts w:ascii="Verdana" w:hAnsi="Verdana"/>
          <w:sz w:val="22"/>
          <w:szCs w:val="22"/>
        </w:rPr>
        <w:t>Lgs</w:t>
      </w:r>
      <w:proofErr w:type="spellEnd"/>
      <w:r w:rsidRPr="00A11101">
        <w:rPr>
          <w:rFonts w:ascii="Verdana" w:hAnsi="Verdana"/>
          <w:sz w:val="22"/>
          <w:szCs w:val="22"/>
        </w:rPr>
        <w:t>. 11 aprile 2002, n. 61, e successive modifiche e integrazioni introdotte dalla Legge 28 dicembre 2005, n. 262 e dalla Legge 6 novembre 2012, n.190, richiama le fattispecie di reato di seguito elencate (di seguito, per brevità, i “</w:t>
      </w:r>
      <w:r w:rsidRPr="00A11101">
        <w:rPr>
          <w:rFonts w:ascii="Verdana" w:hAnsi="Verdana"/>
          <w:b/>
          <w:sz w:val="22"/>
          <w:szCs w:val="22"/>
        </w:rPr>
        <w:t>Reati Societari</w:t>
      </w:r>
      <w:r w:rsidRPr="00A11101">
        <w:rPr>
          <w:rFonts w:ascii="Verdana" w:hAnsi="Verdana"/>
          <w:sz w:val="22"/>
          <w:szCs w:val="22"/>
        </w:rPr>
        <w:t>”):</w:t>
      </w:r>
    </w:p>
    <w:p w:rsidR="00EC0ED1" w:rsidRDefault="00EC0ED1">
      <w:pPr>
        <w:autoSpaceDE w:val="0"/>
        <w:autoSpaceDN w:val="0"/>
        <w:adjustRightInd w:val="0"/>
        <w:spacing w:line="360" w:lineRule="auto"/>
        <w:jc w:val="both"/>
        <w:rPr>
          <w:rFonts w:ascii="Verdana" w:hAnsi="Verdana"/>
          <w:sz w:val="22"/>
          <w:szCs w:val="22"/>
        </w:rPr>
      </w:pPr>
    </w:p>
    <w:p w:rsidR="00EC0ED1" w:rsidRPr="004A6B0A" w:rsidRDefault="00F83ED1" w:rsidP="004A6B0A">
      <w:pPr>
        <w:pStyle w:val="ListParagraph"/>
        <w:numPr>
          <w:ilvl w:val="0"/>
          <w:numId w:val="53"/>
        </w:numPr>
        <w:spacing w:line="360" w:lineRule="auto"/>
        <w:ind w:left="567" w:hanging="284"/>
        <w:rPr>
          <w:rFonts w:ascii="Verdana" w:hAnsi="Verdana"/>
          <w:i/>
          <w:sz w:val="22"/>
          <w:szCs w:val="22"/>
          <w:u w:val="single"/>
        </w:rPr>
      </w:pPr>
      <w:r>
        <w:rPr>
          <w:rFonts w:ascii="Verdana" w:hAnsi="Verdana"/>
          <w:i/>
          <w:sz w:val="22"/>
          <w:szCs w:val="22"/>
          <w:u w:val="single"/>
        </w:rPr>
        <w:t>False comunicazioni sociali (art. 2621</w:t>
      </w:r>
      <w:r w:rsidR="003E7EDF">
        <w:rPr>
          <w:rFonts w:ascii="Verdana" w:hAnsi="Verdana"/>
          <w:i/>
          <w:sz w:val="22"/>
          <w:szCs w:val="22"/>
          <w:u w:val="single"/>
        </w:rPr>
        <w:t xml:space="preserve"> c.c</w:t>
      </w:r>
      <w:r w:rsidR="00EC0ED1" w:rsidRPr="004A6B0A">
        <w:rPr>
          <w:rFonts w:ascii="Verdana" w:hAnsi="Verdana"/>
          <w:i/>
          <w:sz w:val="22"/>
          <w:szCs w:val="22"/>
          <w:u w:val="single"/>
        </w:rPr>
        <w:t>.)</w:t>
      </w:r>
    </w:p>
    <w:p w:rsidR="00F83ED1" w:rsidRPr="00F83ED1" w:rsidRDefault="00F83ED1" w:rsidP="00F83ED1">
      <w:pPr>
        <w:autoSpaceDE w:val="0"/>
        <w:autoSpaceDN w:val="0"/>
        <w:adjustRightInd w:val="0"/>
        <w:spacing w:line="360" w:lineRule="auto"/>
        <w:jc w:val="both"/>
        <w:rPr>
          <w:rFonts w:ascii="Verdana" w:hAnsi="Verdana"/>
          <w:iCs/>
          <w:sz w:val="22"/>
          <w:szCs w:val="22"/>
        </w:rPr>
      </w:pPr>
      <w:r w:rsidRPr="00F83ED1">
        <w:rPr>
          <w:rFonts w:ascii="Verdana" w:hAnsi="Verdana"/>
          <w:iCs/>
          <w:sz w:val="22"/>
          <w:szCs w:val="22"/>
        </w:rPr>
        <w:t>Salvo quanto previsto dall'art. 2622 c.c., gli amministratori, i direttori generali, i dirigenti preposti alla redazione dei documenti contabili societari, i sindaci e i liquidatori, i quali, con l’intenzione di ingannare i soci o il pubblico e al fine di conseguire per sé o per altri un ingiusto profitto, nei bilanci, nelle relazioni o nelle altre comunicazioni sociali previste dalla legge, dirette ai soci o al pubblico, espongono fatti materiali non rispondenti al vero ancorché oggetto di valutazioni, ovvero omettono informazioni la cui comunicazione è imposta dalla legge sulla situazione economica, patrimoniale, o finanziaria della società o del gruppo al quale essa appartiene, in modo idoneo ad indurre in errore i destinatari sulla</w:t>
      </w:r>
      <w:r>
        <w:rPr>
          <w:rFonts w:ascii="Verdana" w:hAnsi="Verdana"/>
          <w:iCs/>
          <w:sz w:val="22"/>
          <w:szCs w:val="22"/>
        </w:rPr>
        <w:t xml:space="preserve"> </w:t>
      </w:r>
      <w:r w:rsidRPr="00F83ED1">
        <w:rPr>
          <w:rFonts w:ascii="Verdana" w:hAnsi="Verdana"/>
          <w:iCs/>
          <w:sz w:val="22"/>
          <w:szCs w:val="22"/>
        </w:rPr>
        <w:t>predetta situazione, sono puniti con l’arresto fino a due anni.</w:t>
      </w:r>
    </w:p>
    <w:p w:rsidR="00F83ED1" w:rsidRPr="00F83ED1" w:rsidRDefault="00F83ED1" w:rsidP="00F83ED1">
      <w:pPr>
        <w:autoSpaceDE w:val="0"/>
        <w:autoSpaceDN w:val="0"/>
        <w:adjustRightInd w:val="0"/>
        <w:spacing w:line="360" w:lineRule="auto"/>
        <w:jc w:val="both"/>
        <w:rPr>
          <w:rFonts w:ascii="Verdana" w:hAnsi="Verdana"/>
          <w:iCs/>
          <w:sz w:val="22"/>
          <w:szCs w:val="22"/>
        </w:rPr>
      </w:pPr>
      <w:r w:rsidRPr="00F83ED1">
        <w:rPr>
          <w:rFonts w:ascii="Verdana" w:hAnsi="Verdana"/>
          <w:iCs/>
          <w:sz w:val="22"/>
          <w:szCs w:val="22"/>
        </w:rPr>
        <w:t>La punibilità è estesa anche al caso in cui le informazioni riguardino beni posseduti o amministrati dalla società per conto di terzi.</w:t>
      </w:r>
    </w:p>
    <w:p w:rsidR="00F83ED1" w:rsidRPr="00F83ED1" w:rsidRDefault="00F83ED1" w:rsidP="00F83ED1">
      <w:pPr>
        <w:autoSpaceDE w:val="0"/>
        <w:autoSpaceDN w:val="0"/>
        <w:adjustRightInd w:val="0"/>
        <w:spacing w:line="360" w:lineRule="auto"/>
        <w:jc w:val="both"/>
        <w:rPr>
          <w:rFonts w:ascii="Verdana" w:hAnsi="Verdana"/>
          <w:iCs/>
          <w:sz w:val="22"/>
          <w:szCs w:val="22"/>
        </w:rPr>
      </w:pPr>
      <w:r w:rsidRPr="00F83ED1">
        <w:rPr>
          <w:rFonts w:ascii="Verdana" w:hAnsi="Verdana"/>
          <w:iCs/>
          <w:sz w:val="22"/>
          <w:szCs w:val="22"/>
        </w:rPr>
        <w:t xml:space="preserve">La punibilità è esclusa se le falsità o le omissioni non alterano in modo sensibile la rappresentazione della situazione economica, patrimoniale o finanziaria della società o del gruppo al quale essa appartiene. La punibilità è comunque esclusa se le falsità o le omissioni determinano una variazione del risultato economico di esercizio, al lordo delle imposte, non superiore al 5 per cento o una variazione del patrimonio netto non </w:t>
      </w:r>
      <w:r w:rsidRPr="00F83ED1">
        <w:rPr>
          <w:rFonts w:ascii="Verdana" w:hAnsi="Verdana"/>
          <w:iCs/>
          <w:sz w:val="22"/>
          <w:szCs w:val="22"/>
        </w:rPr>
        <w:lastRenderedPageBreak/>
        <w:t>superiore all'1 per cento</w:t>
      </w:r>
    </w:p>
    <w:p w:rsidR="00F83ED1" w:rsidRPr="00F83ED1" w:rsidRDefault="00F83ED1" w:rsidP="00F83ED1">
      <w:pPr>
        <w:autoSpaceDE w:val="0"/>
        <w:autoSpaceDN w:val="0"/>
        <w:adjustRightInd w:val="0"/>
        <w:spacing w:line="360" w:lineRule="auto"/>
        <w:jc w:val="both"/>
        <w:rPr>
          <w:rFonts w:ascii="Verdana" w:hAnsi="Verdana"/>
          <w:iCs/>
          <w:sz w:val="22"/>
          <w:szCs w:val="22"/>
        </w:rPr>
      </w:pPr>
      <w:r w:rsidRPr="00F83ED1">
        <w:rPr>
          <w:rFonts w:ascii="Verdana" w:hAnsi="Verdana"/>
          <w:iCs/>
          <w:sz w:val="22"/>
          <w:szCs w:val="22"/>
        </w:rPr>
        <w:t>In ogni caso il fatto non è punibile se conseguenza di valutazioni estimative che, singolarmente considerate, differiscono in misura non superiore al 10% da quella corretta. Nei casi previsti dai commi terzo e quarto, ai soggetti di cui al primo comma sono irrogate la sanzione amministrativa da dieci a cento quote e l’interdizione dagli uffici direttivi delle persone giuridiche e delle imprese da sei mesi atre anni, dall’esercizio dell’ufficio di amministratore, sindaco, liquidatore, direttore generale e dirigente preposto alla redazione dei documenti contabili societari, nonché da ogni latro ufficio con potere di rappresentanza della persona giuridica o dell’impresa.</w:t>
      </w:r>
    </w:p>
    <w:p w:rsidR="00F83ED1" w:rsidRDefault="00F83ED1" w:rsidP="00F83ED1">
      <w:pPr>
        <w:autoSpaceDE w:val="0"/>
        <w:autoSpaceDN w:val="0"/>
        <w:adjustRightInd w:val="0"/>
        <w:spacing w:line="360" w:lineRule="auto"/>
        <w:jc w:val="both"/>
        <w:rPr>
          <w:rFonts w:ascii="Verdana" w:hAnsi="Verdana"/>
          <w:i/>
          <w:iCs/>
          <w:sz w:val="22"/>
          <w:szCs w:val="22"/>
        </w:rPr>
      </w:pPr>
    </w:p>
    <w:p w:rsidR="00EC0ED1" w:rsidRPr="004A6B0A" w:rsidRDefault="003E7EDF" w:rsidP="004A6B0A">
      <w:pPr>
        <w:pStyle w:val="ListParagraph"/>
        <w:numPr>
          <w:ilvl w:val="0"/>
          <w:numId w:val="53"/>
        </w:numPr>
        <w:autoSpaceDE w:val="0"/>
        <w:autoSpaceDN w:val="0"/>
        <w:adjustRightInd w:val="0"/>
        <w:spacing w:line="360" w:lineRule="auto"/>
        <w:ind w:left="567" w:hanging="283"/>
        <w:jc w:val="both"/>
        <w:rPr>
          <w:rFonts w:ascii="Verdana" w:hAnsi="Verdana"/>
          <w:i/>
          <w:iCs/>
          <w:sz w:val="22"/>
          <w:szCs w:val="22"/>
          <w:u w:val="single"/>
        </w:rPr>
      </w:pPr>
      <w:r>
        <w:rPr>
          <w:rFonts w:ascii="Verdana" w:hAnsi="Verdana"/>
          <w:i/>
          <w:iCs/>
          <w:sz w:val="22"/>
          <w:szCs w:val="22"/>
          <w:u w:val="single"/>
        </w:rPr>
        <w:t xml:space="preserve">False comunicazioni sociali in danno della società, dei soci o dei creditori (art. 2622 commi 1 e 3 c.c.) </w:t>
      </w:r>
    </w:p>
    <w:p w:rsidR="00805183"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Gli amministratori, i direttori generali, i dirigenti preposti alla redazione dei documenti contabili societari, i sindaci e i liquidatori, i quali, con l’intenzione di ingannare i soci o il pubblico e al fine di conseguire per sé o per altri un ingiusto profitto, nei bilanci, nelle relazioni o nelle altre comunicazioni sociali previste dalla legge, dirette ai soci o al pubblico, esponendo fatti materiali non rispondenti al vero ancorché oggetto di valutazioni, ovvero omettendo informazioni la cui comunicazione è imposta dalla legge sulla situazione economica, patrimoniale o finanziaria della società o del gruppo al quale essa appartiene, in modo idoneo ad indurre in errore i destinatari sulla predetta situazione, cagionano un danno patrimoniale alla società, ai soci o ai creditori sono puniti, a querela della persona offesa, con la reclusione da sei mesi a tre anni.</w:t>
      </w:r>
    </w:p>
    <w:p w:rsidR="00805183"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Si procede a querela anche se il fatto integra altro delitto, ancorché aggravato a danno del patrimonio di soggetti diversi dai soci e dai creditori, salvo che sia commesso in danno dello Stato, di altri enti pubblici o delle Comunità europee.</w:t>
      </w:r>
    </w:p>
    <w:p w:rsidR="00805183"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Nel caso di società soggette alle disposizioni della parte IV, titolo III, capo II, del decreto legislativo 24 febbraio 1998, n. 58, e successive modificazioni, la pena per i fatti previsti al primo comma è da uno a quattro anni e il delitto è procedibile d'ufficio.</w:t>
      </w:r>
    </w:p>
    <w:p w:rsidR="00805183"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La pena è da due a sei anni se, nelle ipotesi di cui al terzo comma, il fatto cagiona un grave nocumento ai risparmiatori. Il nocumento si considera grave quando abbia riguardato un numero di risparmiatori superiore allo 0,1 per mille della popolazione risultante dall’ultimo censimento ISTAT ovvero se sia consistito nella distruzione o riduzione del valore di titoli di entità complessiva superiore allo 0,1 per mille del prodotto interno lordo.</w:t>
      </w:r>
    </w:p>
    <w:p w:rsidR="00805183"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 xml:space="preserve">La punibilità per i fatti previsti dal primo e terzo comma è estesa anche al caso in cui </w:t>
      </w:r>
      <w:r w:rsidRPr="00805183">
        <w:rPr>
          <w:rFonts w:ascii="Verdana" w:hAnsi="Verdana"/>
          <w:iCs/>
          <w:sz w:val="22"/>
          <w:szCs w:val="22"/>
        </w:rPr>
        <w:lastRenderedPageBreak/>
        <w:t>le informazioni riguardino beni posseduti o amministrati dalla società per conto di terzi.</w:t>
      </w:r>
    </w:p>
    <w:p w:rsidR="00805183"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La punibilità per i fatti previsti dal primo e terzo comma è esclusa se le falsità o le omissioni non alterano in modo sensibile la rappresentazione della situazione economica, patrimoniale o finanziaria della società o del gruppo al quale essa appartiene. La punibilità è comunque esclusa se le falsità o le omissioni determinano una variazione del risultato economico di esercizio, al lordo delle imposte, non superiore al 5 per cento o una variazione del patrimonio netto non superiore all’1 per cento.</w:t>
      </w:r>
    </w:p>
    <w:p w:rsidR="00805183"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In ogni caso il fatto non è punibile se conseguenza di valutazioni estimative che, singolarmente considerate, differiscono in misura non superiore al 10 per cento da quella corretta.</w:t>
      </w:r>
    </w:p>
    <w:p w:rsidR="00EC0ED1" w:rsidRPr="00805183" w:rsidRDefault="00805183" w:rsidP="00805183">
      <w:pPr>
        <w:autoSpaceDE w:val="0"/>
        <w:autoSpaceDN w:val="0"/>
        <w:adjustRightInd w:val="0"/>
        <w:spacing w:line="360" w:lineRule="auto"/>
        <w:jc w:val="both"/>
        <w:rPr>
          <w:rFonts w:ascii="Verdana" w:hAnsi="Verdana"/>
          <w:iCs/>
          <w:sz w:val="22"/>
          <w:szCs w:val="22"/>
        </w:rPr>
      </w:pPr>
      <w:r w:rsidRPr="00805183">
        <w:rPr>
          <w:rFonts w:ascii="Verdana" w:hAnsi="Verdana"/>
          <w:iCs/>
          <w:sz w:val="22"/>
          <w:szCs w:val="22"/>
        </w:rPr>
        <w:t>Nei casi previsti dai commi settimo e ottavo, ai soggetti di cui al primo comma sono irrogate la sanzione amministrativa da dieci a cento quote e l’interdizione dagli uffici direttivi delle persone giuridiche e delle imprese da sei mesi a tre anni, dall’esercizio dell’ufficio di amministratore, sindaco, liquidatore, direttore generale e dirigente preposto alla redazione dei documenti contabili societari, nonché da ogni altro ufficio con potere di rappresentanza della persona giuridica o dell’impresa.</w:t>
      </w:r>
    </w:p>
    <w:p w:rsidR="00805183" w:rsidRDefault="00805183" w:rsidP="00805183">
      <w:pPr>
        <w:autoSpaceDE w:val="0"/>
        <w:autoSpaceDN w:val="0"/>
        <w:adjustRightInd w:val="0"/>
        <w:spacing w:line="360" w:lineRule="auto"/>
        <w:jc w:val="both"/>
        <w:rPr>
          <w:rFonts w:ascii="Verdana" w:hAnsi="Verdana"/>
          <w:i/>
          <w:iCs/>
          <w:sz w:val="22"/>
          <w:szCs w:val="22"/>
        </w:rPr>
      </w:pPr>
    </w:p>
    <w:p w:rsidR="00EC0ED1" w:rsidRPr="004A6B0A" w:rsidRDefault="00235D6C" w:rsidP="004A6B0A">
      <w:pPr>
        <w:pStyle w:val="ListParagraph"/>
        <w:numPr>
          <w:ilvl w:val="0"/>
          <w:numId w:val="53"/>
        </w:numPr>
        <w:autoSpaceDE w:val="0"/>
        <w:autoSpaceDN w:val="0"/>
        <w:adjustRightInd w:val="0"/>
        <w:spacing w:line="360" w:lineRule="auto"/>
        <w:ind w:left="567" w:hanging="294"/>
        <w:jc w:val="both"/>
        <w:rPr>
          <w:rFonts w:ascii="Verdana" w:hAnsi="Verdana"/>
          <w:i/>
          <w:iCs/>
          <w:sz w:val="22"/>
          <w:szCs w:val="22"/>
        </w:rPr>
      </w:pPr>
      <w:r>
        <w:rPr>
          <w:rFonts w:ascii="Verdana" w:hAnsi="Verdana"/>
          <w:i/>
          <w:iCs/>
          <w:sz w:val="22"/>
          <w:szCs w:val="22"/>
          <w:u w:val="single"/>
        </w:rPr>
        <w:t>Impedito controllo</w:t>
      </w:r>
      <w:r w:rsidR="00EC0ED1" w:rsidRPr="004A6B0A">
        <w:rPr>
          <w:rFonts w:ascii="Verdana" w:hAnsi="Verdana"/>
          <w:i/>
          <w:iCs/>
          <w:sz w:val="22"/>
          <w:szCs w:val="22"/>
          <w:u w:val="single"/>
        </w:rPr>
        <w:t xml:space="preserve"> (art.</w:t>
      </w:r>
      <w:r>
        <w:rPr>
          <w:rFonts w:ascii="Verdana" w:hAnsi="Verdana"/>
          <w:i/>
          <w:iCs/>
          <w:sz w:val="22"/>
          <w:szCs w:val="22"/>
          <w:u w:val="single"/>
        </w:rPr>
        <w:t xml:space="preserve"> 2625 c.c</w:t>
      </w:r>
      <w:r w:rsidR="00EC0ED1" w:rsidRPr="004A6B0A">
        <w:rPr>
          <w:rFonts w:ascii="Verdana" w:hAnsi="Verdana"/>
          <w:i/>
          <w:iCs/>
          <w:sz w:val="22"/>
          <w:szCs w:val="22"/>
          <w:u w:val="single"/>
        </w:rPr>
        <w:t>.</w:t>
      </w:r>
      <w:r>
        <w:rPr>
          <w:rFonts w:ascii="Verdana" w:hAnsi="Verdana"/>
          <w:i/>
          <w:iCs/>
          <w:sz w:val="22"/>
          <w:szCs w:val="22"/>
          <w:u w:val="single"/>
        </w:rPr>
        <w:t xml:space="preserve">, modificato dall’art. 37, </w:t>
      </w:r>
      <w:proofErr w:type="spellStart"/>
      <w:r>
        <w:rPr>
          <w:rFonts w:ascii="Verdana" w:hAnsi="Verdana"/>
          <w:i/>
          <w:iCs/>
          <w:sz w:val="22"/>
          <w:szCs w:val="22"/>
          <w:u w:val="single"/>
        </w:rPr>
        <w:t>D.Lgs</w:t>
      </w:r>
      <w:proofErr w:type="spellEnd"/>
      <w:r>
        <w:rPr>
          <w:rFonts w:ascii="Verdana" w:hAnsi="Verdana"/>
          <w:i/>
          <w:iCs/>
          <w:sz w:val="22"/>
          <w:szCs w:val="22"/>
          <w:u w:val="single"/>
        </w:rPr>
        <w:t xml:space="preserve"> 39/2010)</w:t>
      </w:r>
    </w:p>
    <w:p w:rsidR="00EC0ED1" w:rsidRDefault="00235D6C">
      <w:pPr>
        <w:autoSpaceDE w:val="0"/>
        <w:autoSpaceDN w:val="0"/>
        <w:adjustRightInd w:val="0"/>
        <w:spacing w:line="360" w:lineRule="auto"/>
        <w:jc w:val="both"/>
        <w:rPr>
          <w:rFonts w:ascii="Verdana" w:hAnsi="Verdana" w:cs="Arial"/>
          <w:sz w:val="22"/>
          <w:szCs w:val="22"/>
        </w:rPr>
      </w:pPr>
      <w:r w:rsidRPr="00235D6C">
        <w:rPr>
          <w:rFonts w:ascii="Verdana" w:hAnsi="Verdana" w:cs="Arial"/>
          <w:sz w:val="22"/>
          <w:szCs w:val="22"/>
        </w:rPr>
        <w:t>Il reato di impedito controllo si verifica nell’ipotesi in cui, attraverso l’occultamento di documenti o altri artifici atti allo scopo, si impedisca o semplicemente si ostacoli lo svolgimento delle attività di controllo, che siano attribuite ai soci, ad altri organi sociali, , dalla legge.</w:t>
      </w:r>
    </w:p>
    <w:p w:rsidR="00235D6C" w:rsidRPr="00235D6C" w:rsidRDefault="00235D6C" w:rsidP="00235D6C">
      <w:pPr>
        <w:autoSpaceDE w:val="0"/>
        <w:autoSpaceDN w:val="0"/>
        <w:adjustRightInd w:val="0"/>
        <w:spacing w:line="360" w:lineRule="auto"/>
        <w:jc w:val="both"/>
        <w:rPr>
          <w:rFonts w:ascii="Verdana" w:hAnsi="Verdana" w:cs="Arial"/>
          <w:sz w:val="22"/>
          <w:szCs w:val="22"/>
        </w:rPr>
      </w:pPr>
      <w:r w:rsidRPr="00235D6C">
        <w:rPr>
          <w:rFonts w:ascii="Verdana" w:hAnsi="Verdana" w:cs="Arial"/>
          <w:sz w:val="22"/>
          <w:szCs w:val="22"/>
        </w:rPr>
        <w:t>Gli amministratori che, occultando documenti o con altri idonei artifici, impediscono o comunque ostacolano lo svolgimento delle attività di controllo legalmente attribuite ai soci, ad altri organi sociali, sono puniti con la sanzione amministrat</w:t>
      </w:r>
      <w:r>
        <w:rPr>
          <w:rFonts w:ascii="Verdana" w:hAnsi="Verdana" w:cs="Arial"/>
          <w:sz w:val="22"/>
          <w:szCs w:val="22"/>
        </w:rPr>
        <w:t xml:space="preserve">iva pecuniaria fino a 10.329 € </w:t>
      </w:r>
      <w:r w:rsidRPr="00235D6C">
        <w:rPr>
          <w:rFonts w:ascii="Verdana" w:hAnsi="Verdana" w:cs="Arial"/>
          <w:sz w:val="22"/>
          <w:szCs w:val="22"/>
        </w:rPr>
        <w:t>[Contravvenzione in impedito controllo]</w:t>
      </w:r>
      <w:r>
        <w:rPr>
          <w:rFonts w:ascii="Verdana" w:hAnsi="Verdana" w:cs="Arial"/>
          <w:sz w:val="22"/>
          <w:szCs w:val="22"/>
        </w:rPr>
        <w:t>.</w:t>
      </w:r>
      <w:r w:rsidRPr="00235D6C">
        <w:rPr>
          <w:rFonts w:ascii="Verdana" w:hAnsi="Verdana" w:cs="Arial"/>
          <w:sz w:val="22"/>
          <w:szCs w:val="22"/>
        </w:rPr>
        <w:t xml:space="preserve"> Se la condotta ha cagionato un danno ai soci, si applica la reclusione fino ad un anno e si procede a querela della persona offesa. [Delitto in impedito controllo]</w:t>
      </w:r>
      <w:r>
        <w:rPr>
          <w:rFonts w:ascii="Verdana" w:hAnsi="Verdana" w:cs="Arial"/>
          <w:sz w:val="22"/>
          <w:szCs w:val="22"/>
        </w:rPr>
        <w:t>.</w:t>
      </w:r>
    </w:p>
    <w:p w:rsidR="00235D6C" w:rsidRDefault="00235D6C">
      <w:pPr>
        <w:autoSpaceDE w:val="0"/>
        <w:autoSpaceDN w:val="0"/>
        <w:adjustRightInd w:val="0"/>
        <w:spacing w:line="360" w:lineRule="auto"/>
        <w:jc w:val="both"/>
        <w:rPr>
          <w:rFonts w:ascii="Verdana" w:hAnsi="Verdana"/>
          <w:sz w:val="22"/>
          <w:szCs w:val="22"/>
        </w:rPr>
      </w:pPr>
    </w:p>
    <w:p w:rsidR="00EC0ED1" w:rsidRPr="00B965F1" w:rsidRDefault="001D76EC" w:rsidP="004A6B0A">
      <w:pPr>
        <w:pStyle w:val="ListParagraph"/>
        <w:numPr>
          <w:ilvl w:val="0"/>
          <w:numId w:val="53"/>
        </w:numPr>
        <w:spacing w:line="360" w:lineRule="auto"/>
        <w:ind w:left="567" w:hanging="283"/>
        <w:jc w:val="both"/>
        <w:rPr>
          <w:rFonts w:ascii="Verdana" w:hAnsi="Verdana"/>
          <w:i/>
          <w:sz w:val="22"/>
          <w:szCs w:val="22"/>
        </w:rPr>
      </w:pPr>
      <w:r>
        <w:rPr>
          <w:rFonts w:ascii="Verdana" w:hAnsi="Verdana"/>
          <w:bCs/>
          <w:i/>
          <w:iCs/>
          <w:sz w:val="22"/>
          <w:szCs w:val="22"/>
          <w:u w:val="single"/>
        </w:rPr>
        <w:t>Indebita restituzione dei conferimenti (art. 2626 c.c.)</w:t>
      </w:r>
    </w:p>
    <w:p w:rsidR="00B965F1" w:rsidRPr="00B965F1" w:rsidRDefault="00B965F1" w:rsidP="00B965F1">
      <w:pPr>
        <w:spacing w:line="360" w:lineRule="auto"/>
        <w:jc w:val="both"/>
        <w:rPr>
          <w:rFonts w:ascii="Verdana" w:hAnsi="Verdana"/>
          <w:sz w:val="22"/>
          <w:szCs w:val="22"/>
        </w:rPr>
      </w:pPr>
      <w:r w:rsidRPr="00B965F1">
        <w:rPr>
          <w:rFonts w:ascii="Verdana" w:hAnsi="Verdana"/>
          <w:sz w:val="22"/>
          <w:szCs w:val="22"/>
        </w:rPr>
        <w:t xml:space="preserve">Il reato di indebita restituzione dei conferimenti, previsto a tutela dell’integrità ed effettività del capitale sociale, quale garanzia dei diritti dei creditori e dei terzi, si verifica nel caso di restituzione, più o meno palese, dei conferimenti ai soci, ovvero </w:t>
      </w:r>
      <w:r w:rsidRPr="00B965F1">
        <w:rPr>
          <w:rFonts w:ascii="Verdana" w:hAnsi="Verdana"/>
          <w:sz w:val="22"/>
          <w:szCs w:val="22"/>
        </w:rPr>
        <w:lastRenderedPageBreak/>
        <w:t>nella liberazione degli stessi dall’obbligo di eseguirli, fuori dalle ipotesi di legittima riduzione del capitale sociale.</w:t>
      </w:r>
    </w:p>
    <w:p w:rsidR="00B965F1" w:rsidRPr="00B965F1" w:rsidRDefault="00B965F1" w:rsidP="00B965F1">
      <w:pPr>
        <w:spacing w:line="360" w:lineRule="auto"/>
        <w:jc w:val="both"/>
        <w:rPr>
          <w:rFonts w:ascii="Verdana" w:hAnsi="Verdana"/>
          <w:sz w:val="22"/>
          <w:szCs w:val="22"/>
        </w:rPr>
      </w:pPr>
      <w:r w:rsidRPr="00B965F1">
        <w:rPr>
          <w:rFonts w:ascii="Verdana" w:hAnsi="Verdana"/>
          <w:sz w:val="22"/>
          <w:szCs w:val="22"/>
        </w:rPr>
        <w:t>L’esplicito riferimento della norma ai soli amministratori esclude la punibilità, ai sensi dell’art. 2626, dei soci beneficiari o liberati dall’obbligo di conferimento.</w:t>
      </w:r>
    </w:p>
    <w:p w:rsidR="00B965F1" w:rsidRPr="00654B95" w:rsidRDefault="00654B95" w:rsidP="00B965F1">
      <w:pPr>
        <w:spacing w:line="360" w:lineRule="auto"/>
        <w:jc w:val="both"/>
        <w:rPr>
          <w:rFonts w:ascii="Verdana" w:hAnsi="Verdana"/>
          <w:sz w:val="22"/>
          <w:szCs w:val="22"/>
        </w:rPr>
      </w:pPr>
      <w:r w:rsidRPr="00654B95">
        <w:rPr>
          <w:rFonts w:ascii="Verdana" w:hAnsi="Verdana"/>
          <w:sz w:val="22"/>
          <w:szCs w:val="22"/>
        </w:rPr>
        <w:t>Gli amministratori che, fuori dei casi di legittima riduzione del capitale sociale, restituiscono, anche simulatamente, i conferimenti ai soci o li liberano dall'obbligo di eseguirli, sono puniti con la reclusione fino ad un anno.</w:t>
      </w:r>
    </w:p>
    <w:p w:rsidR="00942E6F" w:rsidRDefault="00942E6F" w:rsidP="00B874D1">
      <w:pPr>
        <w:pStyle w:val="BodyText2"/>
        <w:spacing w:after="0" w:line="360" w:lineRule="auto"/>
        <w:jc w:val="both"/>
        <w:rPr>
          <w:rFonts w:ascii="Verdana" w:hAnsi="Verdana"/>
          <w:sz w:val="22"/>
          <w:szCs w:val="22"/>
        </w:rPr>
      </w:pPr>
    </w:p>
    <w:p w:rsidR="00B874D1" w:rsidRDefault="00B874D1" w:rsidP="00B874D1">
      <w:pPr>
        <w:pStyle w:val="BodyText2"/>
        <w:numPr>
          <w:ilvl w:val="0"/>
          <w:numId w:val="53"/>
        </w:numPr>
        <w:spacing w:after="0" w:line="360" w:lineRule="auto"/>
        <w:ind w:left="567" w:hanging="283"/>
        <w:jc w:val="both"/>
        <w:rPr>
          <w:rFonts w:ascii="Verdana" w:hAnsi="Verdana"/>
          <w:i/>
          <w:sz w:val="22"/>
          <w:szCs w:val="22"/>
          <w:u w:val="single"/>
        </w:rPr>
      </w:pPr>
      <w:r w:rsidRPr="00B874D1">
        <w:rPr>
          <w:rFonts w:ascii="Verdana" w:hAnsi="Verdana"/>
          <w:i/>
          <w:sz w:val="22"/>
          <w:szCs w:val="22"/>
          <w:u w:val="single"/>
        </w:rPr>
        <w:t xml:space="preserve">Illegale ripartizione degli utili e delle riserve (art. </w:t>
      </w:r>
      <w:r>
        <w:rPr>
          <w:rFonts w:ascii="Verdana" w:hAnsi="Verdana"/>
          <w:i/>
          <w:sz w:val="22"/>
          <w:szCs w:val="22"/>
          <w:u w:val="single"/>
        </w:rPr>
        <w:t>2627 c.c.)</w:t>
      </w:r>
    </w:p>
    <w:p w:rsidR="00B874D1" w:rsidRPr="00B874D1" w:rsidRDefault="00B874D1" w:rsidP="00B874D1">
      <w:pPr>
        <w:pStyle w:val="BodyText2"/>
        <w:spacing w:line="360" w:lineRule="auto"/>
        <w:jc w:val="both"/>
        <w:rPr>
          <w:rFonts w:ascii="Verdana" w:hAnsi="Verdana"/>
          <w:sz w:val="22"/>
          <w:szCs w:val="22"/>
        </w:rPr>
      </w:pPr>
      <w:r w:rsidRPr="00B874D1">
        <w:rPr>
          <w:rFonts w:ascii="Verdana" w:hAnsi="Verdana"/>
          <w:sz w:val="22"/>
          <w:szCs w:val="22"/>
        </w:rPr>
        <w:t>Il reato in questione si verifica in due ipotesi; in primo luogo, nel caso in cui si ripartiscano utili, o acconti sugli utili, che non siano stati effettivamente conseguiti, o che siano destinati per legge a riserva.</w:t>
      </w:r>
    </w:p>
    <w:p w:rsidR="00B874D1" w:rsidRPr="00B874D1" w:rsidRDefault="00B874D1" w:rsidP="00B874D1">
      <w:pPr>
        <w:pStyle w:val="BodyText2"/>
        <w:spacing w:after="0" w:line="360" w:lineRule="auto"/>
        <w:jc w:val="both"/>
        <w:rPr>
          <w:rFonts w:ascii="Verdana" w:hAnsi="Verdana"/>
          <w:sz w:val="22"/>
          <w:szCs w:val="22"/>
        </w:rPr>
      </w:pPr>
      <w:r w:rsidRPr="00B874D1">
        <w:rPr>
          <w:rFonts w:ascii="Verdana" w:hAnsi="Verdana"/>
          <w:sz w:val="22"/>
          <w:szCs w:val="22"/>
        </w:rPr>
        <w:t>L’altra ipotesi è quella in cui si ripartiscano riserve, anche non costituite con utili, che non possono per legge essere distribuite.</w:t>
      </w:r>
    </w:p>
    <w:p w:rsidR="00B874D1" w:rsidRPr="00B874D1" w:rsidRDefault="00B874D1" w:rsidP="00B874D1">
      <w:pPr>
        <w:pStyle w:val="BodyText2"/>
        <w:spacing w:after="0" w:line="360" w:lineRule="auto"/>
        <w:jc w:val="both"/>
        <w:rPr>
          <w:rFonts w:ascii="Verdana" w:hAnsi="Verdana"/>
          <w:sz w:val="22"/>
          <w:szCs w:val="22"/>
        </w:rPr>
      </w:pPr>
      <w:r w:rsidRPr="00B874D1">
        <w:rPr>
          <w:rFonts w:ascii="Verdana" w:hAnsi="Verdana"/>
          <w:sz w:val="22"/>
          <w:szCs w:val="22"/>
        </w:rPr>
        <w:t>Salvo che il fatto non costituisca più grave reato, gli amministratori che ripartiscono utili o acconti su utili non effettivamente conseguiti o destinati per legge a riserva, ovvero che ripartiscono riserve, anche non costituite con utili, che non possono per legge essere distribuite, sono puniti con l'arresto fino ad un anno. La restituzione degli utili o la ricostituzione delle riserve prima del termine previsto per l'approvazione del bilancio estingue il reato.</w:t>
      </w:r>
    </w:p>
    <w:p w:rsidR="00B874D1" w:rsidRDefault="00B874D1" w:rsidP="00B874D1">
      <w:pPr>
        <w:pStyle w:val="BodyText2"/>
        <w:spacing w:after="0" w:line="360" w:lineRule="auto"/>
        <w:jc w:val="both"/>
        <w:rPr>
          <w:rFonts w:ascii="Verdana" w:hAnsi="Verdana"/>
          <w:i/>
          <w:sz w:val="22"/>
          <w:szCs w:val="22"/>
          <w:u w:val="single"/>
        </w:rPr>
      </w:pPr>
    </w:p>
    <w:p w:rsidR="00EC0ED1" w:rsidRPr="007E6A46" w:rsidRDefault="00B32E00" w:rsidP="00202D00">
      <w:pPr>
        <w:pStyle w:val="ListParagraph"/>
        <w:numPr>
          <w:ilvl w:val="0"/>
          <w:numId w:val="53"/>
        </w:numPr>
        <w:autoSpaceDE w:val="0"/>
        <w:autoSpaceDN w:val="0"/>
        <w:adjustRightInd w:val="0"/>
        <w:spacing w:line="360" w:lineRule="auto"/>
        <w:ind w:left="567" w:hanging="283"/>
        <w:jc w:val="both"/>
        <w:rPr>
          <w:rFonts w:ascii="Verdana" w:hAnsi="Verdana"/>
          <w:i/>
          <w:iCs/>
          <w:sz w:val="22"/>
          <w:szCs w:val="22"/>
        </w:rPr>
      </w:pPr>
      <w:r>
        <w:rPr>
          <w:rFonts w:ascii="Verdana" w:hAnsi="Verdana"/>
          <w:i/>
          <w:iCs/>
          <w:sz w:val="22"/>
          <w:szCs w:val="22"/>
          <w:u w:val="single"/>
        </w:rPr>
        <w:t>Illecite operazioni sulle azioni o quote sociali della società controllante</w:t>
      </w:r>
      <w:r w:rsidR="00EC0ED1" w:rsidRPr="00202D00">
        <w:rPr>
          <w:rFonts w:ascii="Verdana" w:hAnsi="Verdana"/>
          <w:i/>
          <w:iCs/>
          <w:sz w:val="22"/>
          <w:szCs w:val="22"/>
          <w:u w:val="single"/>
        </w:rPr>
        <w:t xml:space="preserve"> (art. </w:t>
      </w:r>
      <w:r>
        <w:rPr>
          <w:rFonts w:ascii="Verdana" w:hAnsi="Verdana"/>
          <w:i/>
          <w:iCs/>
          <w:sz w:val="22"/>
          <w:szCs w:val="22"/>
          <w:u w:val="single"/>
        </w:rPr>
        <w:t>2628 c.c.</w:t>
      </w:r>
      <w:r w:rsidR="00EC0ED1" w:rsidRPr="00202D00">
        <w:rPr>
          <w:rFonts w:ascii="Verdana" w:hAnsi="Verdana"/>
          <w:i/>
          <w:iCs/>
          <w:sz w:val="22"/>
          <w:szCs w:val="22"/>
          <w:u w:val="single"/>
        </w:rPr>
        <w:t>)</w:t>
      </w:r>
    </w:p>
    <w:p w:rsidR="0028605B" w:rsidRDefault="0028605B" w:rsidP="007E6A46">
      <w:pPr>
        <w:autoSpaceDE w:val="0"/>
        <w:autoSpaceDN w:val="0"/>
        <w:adjustRightInd w:val="0"/>
        <w:spacing w:line="360" w:lineRule="auto"/>
        <w:jc w:val="both"/>
        <w:rPr>
          <w:rFonts w:ascii="Verdana" w:hAnsi="Verdana"/>
          <w:iCs/>
          <w:sz w:val="22"/>
          <w:szCs w:val="22"/>
        </w:rPr>
      </w:pPr>
      <w:r w:rsidRPr="0028605B">
        <w:rPr>
          <w:rFonts w:ascii="Verdana" w:hAnsi="Verdana"/>
          <w:iCs/>
          <w:sz w:val="22"/>
          <w:szCs w:val="22"/>
        </w:rPr>
        <w:t>Il reato in questione si perfeziona con l’acquisto o la sottoscrizione, fuori dai casi consentiti dalla legge, di azioni o quote sociali proprie o della società controllante, in modo tale da procurare una lesione all’integrità del capitale sociale e delle riserve non distribuibili per legge.</w:t>
      </w:r>
    </w:p>
    <w:p w:rsidR="00EC0ED1" w:rsidRDefault="0028605B">
      <w:pPr>
        <w:autoSpaceDE w:val="0"/>
        <w:autoSpaceDN w:val="0"/>
        <w:adjustRightInd w:val="0"/>
        <w:spacing w:line="360" w:lineRule="auto"/>
        <w:jc w:val="both"/>
        <w:rPr>
          <w:rFonts w:ascii="Verdana" w:hAnsi="Verdana"/>
          <w:iCs/>
          <w:sz w:val="22"/>
          <w:szCs w:val="22"/>
        </w:rPr>
      </w:pPr>
      <w:r w:rsidRPr="0028605B">
        <w:rPr>
          <w:rFonts w:ascii="Verdana" w:hAnsi="Verdana"/>
          <w:iCs/>
          <w:sz w:val="22"/>
          <w:szCs w:val="22"/>
        </w:rPr>
        <w:t>Tuttavia, la ricostituzione del capitale sociale o delle riserve prima del termine previsto per l’approvazione del bilancio, relativo all’esercizio nel corso del quale è stata posta in essere la condotta, estingue il reato.</w:t>
      </w:r>
    </w:p>
    <w:p w:rsidR="006E3980" w:rsidRDefault="006E3980">
      <w:pPr>
        <w:autoSpaceDE w:val="0"/>
        <w:autoSpaceDN w:val="0"/>
        <w:adjustRightInd w:val="0"/>
        <w:spacing w:line="360" w:lineRule="auto"/>
        <w:jc w:val="both"/>
        <w:rPr>
          <w:rFonts w:ascii="Verdana" w:hAnsi="Verdana"/>
          <w:iCs/>
          <w:sz w:val="22"/>
          <w:szCs w:val="22"/>
        </w:rPr>
      </w:pPr>
    </w:p>
    <w:p w:rsidR="000359EF" w:rsidRPr="000359EF" w:rsidRDefault="006E3980" w:rsidP="000359EF">
      <w:pPr>
        <w:pStyle w:val="ListParagraph"/>
        <w:numPr>
          <w:ilvl w:val="0"/>
          <w:numId w:val="53"/>
        </w:numPr>
        <w:spacing w:line="360" w:lineRule="auto"/>
        <w:ind w:left="567" w:hanging="283"/>
        <w:jc w:val="both"/>
        <w:rPr>
          <w:rFonts w:ascii="Verdana" w:hAnsi="Verdana"/>
          <w:i/>
          <w:sz w:val="22"/>
          <w:szCs w:val="22"/>
          <w:u w:val="single"/>
        </w:rPr>
      </w:pPr>
      <w:r>
        <w:rPr>
          <w:rFonts w:ascii="Verdana" w:hAnsi="Verdana"/>
          <w:bCs/>
          <w:i/>
          <w:sz w:val="22"/>
          <w:szCs w:val="22"/>
          <w:u w:val="single"/>
        </w:rPr>
        <w:t>Operazioni in pregiudizio dei creditori (art. 2629 c.c</w:t>
      </w:r>
      <w:r w:rsidR="000359EF" w:rsidRPr="000359EF">
        <w:rPr>
          <w:rFonts w:ascii="Verdana" w:hAnsi="Verdana"/>
          <w:bCs/>
          <w:i/>
          <w:sz w:val="22"/>
          <w:szCs w:val="22"/>
          <w:u w:val="single"/>
        </w:rPr>
        <w:t>.)</w:t>
      </w:r>
    </w:p>
    <w:p w:rsidR="003A0E6D" w:rsidRPr="003A0E6D" w:rsidRDefault="003A0E6D" w:rsidP="003A0E6D">
      <w:pPr>
        <w:autoSpaceDE w:val="0"/>
        <w:autoSpaceDN w:val="0"/>
        <w:adjustRightInd w:val="0"/>
        <w:spacing w:line="360" w:lineRule="auto"/>
        <w:jc w:val="both"/>
        <w:rPr>
          <w:rFonts w:ascii="Verdana" w:hAnsi="Verdana"/>
          <w:iCs/>
          <w:sz w:val="22"/>
          <w:szCs w:val="22"/>
        </w:rPr>
      </w:pPr>
      <w:r w:rsidRPr="003A0E6D">
        <w:rPr>
          <w:rFonts w:ascii="Verdana" w:hAnsi="Verdana"/>
          <w:iCs/>
          <w:sz w:val="22"/>
          <w:szCs w:val="22"/>
        </w:rPr>
        <w:t>Il reato si realizza nell’ipotesi in cui si proceda a riduzioni del capitale sociale, a fusioni con altra società ovvero a scissioni della società stessa, in violazione delle disposizioni previste dalla legge a tutela dei creditori.</w:t>
      </w:r>
    </w:p>
    <w:p w:rsidR="000359EF" w:rsidRDefault="003A0E6D" w:rsidP="003A0E6D">
      <w:pPr>
        <w:autoSpaceDE w:val="0"/>
        <w:autoSpaceDN w:val="0"/>
        <w:adjustRightInd w:val="0"/>
        <w:spacing w:line="360" w:lineRule="auto"/>
        <w:jc w:val="both"/>
        <w:rPr>
          <w:rFonts w:ascii="Verdana" w:hAnsi="Verdana"/>
          <w:iCs/>
          <w:sz w:val="22"/>
          <w:szCs w:val="22"/>
        </w:rPr>
      </w:pPr>
      <w:r w:rsidRPr="003A0E6D">
        <w:rPr>
          <w:rFonts w:ascii="Verdana" w:hAnsi="Verdana"/>
          <w:iCs/>
          <w:sz w:val="22"/>
          <w:szCs w:val="22"/>
        </w:rPr>
        <w:lastRenderedPageBreak/>
        <w:t>Perché il reato sussista, tuttavia, è necessario che da tali operazioni der</w:t>
      </w:r>
      <w:r w:rsidR="00B81A93">
        <w:rPr>
          <w:rFonts w:ascii="Verdana" w:hAnsi="Verdana"/>
          <w:iCs/>
          <w:sz w:val="22"/>
          <w:szCs w:val="22"/>
        </w:rPr>
        <w:t>ivi un pregiudizio ai creditori</w:t>
      </w:r>
      <w:r w:rsidRPr="003A0E6D">
        <w:rPr>
          <w:rFonts w:ascii="Verdana" w:hAnsi="Verdana"/>
          <w:iCs/>
          <w:sz w:val="22"/>
          <w:szCs w:val="22"/>
        </w:rPr>
        <w:t>; inoltre il reato si estingue qualora i creditori danneggiati siano risarciti prima del giudizio.</w:t>
      </w:r>
    </w:p>
    <w:p w:rsidR="003A0E6D" w:rsidRDefault="003A0E6D">
      <w:pPr>
        <w:autoSpaceDE w:val="0"/>
        <w:autoSpaceDN w:val="0"/>
        <w:adjustRightInd w:val="0"/>
        <w:spacing w:line="360" w:lineRule="auto"/>
        <w:jc w:val="both"/>
        <w:rPr>
          <w:rFonts w:ascii="Verdana" w:hAnsi="Verdana"/>
          <w:i/>
          <w:iCs/>
          <w:sz w:val="22"/>
          <w:szCs w:val="22"/>
        </w:rPr>
      </w:pPr>
    </w:p>
    <w:p w:rsidR="00EC0ED1" w:rsidRDefault="000D0AD5" w:rsidP="00807B90">
      <w:pPr>
        <w:pStyle w:val="ListParagraph"/>
        <w:numPr>
          <w:ilvl w:val="0"/>
          <w:numId w:val="53"/>
        </w:numPr>
        <w:autoSpaceDE w:val="0"/>
        <w:autoSpaceDN w:val="0"/>
        <w:adjustRightInd w:val="0"/>
        <w:spacing w:line="360" w:lineRule="auto"/>
        <w:ind w:left="567" w:hanging="141"/>
        <w:jc w:val="both"/>
        <w:rPr>
          <w:rFonts w:ascii="Verdana" w:hAnsi="Verdana"/>
          <w:i/>
          <w:iCs/>
          <w:sz w:val="22"/>
          <w:szCs w:val="22"/>
          <w:u w:val="single"/>
        </w:rPr>
      </w:pPr>
      <w:r w:rsidRPr="000D0AD5">
        <w:rPr>
          <w:rFonts w:ascii="Verdana" w:hAnsi="Verdana"/>
          <w:i/>
          <w:iCs/>
          <w:sz w:val="22"/>
          <w:szCs w:val="22"/>
          <w:u w:val="single"/>
        </w:rPr>
        <w:t xml:space="preserve"> Omessa comunicazione del conflitto di interessi ( art. </w:t>
      </w:r>
      <w:r>
        <w:rPr>
          <w:rFonts w:ascii="Verdana" w:hAnsi="Verdana"/>
          <w:i/>
          <w:iCs/>
          <w:sz w:val="22"/>
          <w:szCs w:val="22"/>
          <w:u w:val="single"/>
        </w:rPr>
        <w:t>2629-bis c.c.)</w:t>
      </w:r>
    </w:p>
    <w:p w:rsidR="005844A8" w:rsidRPr="005844A8" w:rsidRDefault="005844A8" w:rsidP="005844A8">
      <w:pPr>
        <w:autoSpaceDE w:val="0"/>
        <w:autoSpaceDN w:val="0"/>
        <w:adjustRightInd w:val="0"/>
        <w:spacing w:line="360" w:lineRule="auto"/>
        <w:jc w:val="both"/>
        <w:rPr>
          <w:rFonts w:ascii="Verdana" w:hAnsi="Verdana"/>
          <w:iCs/>
          <w:sz w:val="22"/>
          <w:szCs w:val="22"/>
        </w:rPr>
      </w:pPr>
      <w:r w:rsidRPr="005844A8">
        <w:rPr>
          <w:rFonts w:ascii="Verdana" w:hAnsi="Verdana"/>
          <w:iCs/>
          <w:sz w:val="22"/>
          <w:szCs w:val="22"/>
        </w:rPr>
        <w:t>Tale norma sanziona le violazioni di cui al 2391, primo comma, c.c. qualora arrechino danno alla società o ai terzi.</w:t>
      </w:r>
    </w:p>
    <w:p w:rsidR="005844A8" w:rsidRPr="005844A8" w:rsidRDefault="005844A8" w:rsidP="005844A8">
      <w:pPr>
        <w:autoSpaceDE w:val="0"/>
        <w:autoSpaceDN w:val="0"/>
        <w:adjustRightInd w:val="0"/>
        <w:spacing w:line="360" w:lineRule="auto"/>
        <w:jc w:val="both"/>
        <w:rPr>
          <w:rFonts w:ascii="Verdana" w:hAnsi="Verdana"/>
          <w:iCs/>
          <w:sz w:val="22"/>
          <w:szCs w:val="22"/>
        </w:rPr>
      </w:pPr>
      <w:r w:rsidRPr="005844A8">
        <w:rPr>
          <w:rFonts w:ascii="Verdana" w:hAnsi="Verdana"/>
          <w:iCs/>
          <w:sz w:val="22"/>
          <w:szCs w:val="22"/>
        </w:rPr>
        <w:t>In particolare punisce l’Amministratore che:</w:t>
      </w:r>
    </w:p>
    <w:p w:rsidR="005844A8" w:rsidRDefault="005844A8" w:rsidP="005844A8">
      <w:pPr>
        <w:pStyle w:val="ListParagraph"/>
        <w:numPr>
          <w:ilvl w:val="0"/>
          <w:numId w:val="83"/>
        </w:numPr>
        <w:autoSpaceDE w:val="0"/>
        <w:autoSpaceDN w:val="0"/>
        <w:adjustRightInd w:val="0"/>
        <w:spacing w:line="360" w:lineRule="auto"/>
        <w:jc w:val="both"/>
        <w:rPr>
          <w:rFonts w:ascii="Verdana" w:hAnsi="Verdana"/>
          <w:iCs/>
          <w:sz w:val="22"/>
          <w:szCs w:val="22"/>
        </w:rPr>
      </w:pPr>
      <w:r w:rsidRPr="005844A8">
        <w:rPr>
          <w:rFonts w:ascii="Verdana" w:hAnsi="Verdana"/>
          <w:iCs/>
          <w:sz w:val="22"/>
          <w:szCs w:val="22"/>
        </w:rPr>
        <w:t>non da notizia – condotta omissiva - (precisandone la natura, i termini, l’origine e la portata) di un proprio interesse che, per conto proprio o di terzi, abbia in una determinata operazione della società;</w:t>
      </w:r>
    </w:p>
    <w:p w:rsidR="000D0AD5" w:rsidRPr="005844A8" w:rsidRDefault="005844A8" w:rsidP="005844A8">
      <w:pPr>
        <w:pStyle w:val="ListParagraph"/>
        <w:numPr>
          <w:ilvl w:val="0"/>
          <w:numId w:val="83"/>
        </w:numPr>
        <w:autoSpaceDE w:val="0"/>
        <w:autoSpaceDN w:val="0"/>
        <w:adjustRightInd w:val="0"/>
        <w:spacing w:line="360" w:lineRule="auto"/>
        <w:jc w:val="both"/>
        <w:rPr>
          <w:rFonts w:ascii="Verdana" w:hAnsi="Verdana"/>
          <w:iCs/>
          <w:sz w:val="22"/>
          <w:szCs w:val="22"/>
        </w:rPr>
      </w:pPr>
      <w:r w:rsidRPr="005844A8">
        <w:rPr>
          <w:rFonts w:ascii="Verdana" w:hAnsi="Verdana"/>
          <w:iCs/>
          <w:sz w:val="22"/>
          <w:szCs w:val="22"/>
        </w:rPr>
        <w:t>compie un’operazione della società – condotta commissiva - in cui abbia interesse per conto proprio o di terzi, non investendo della stessa l’organo collegiale. Se si tratta di Amministratore unico deve darne notizia anche alla prima assemblea utile.</w:t>
      </w:r>
    </w:p>
    <w:p w:rsidR="00EC0ED1" w:rsidRDefault="00EC0ED1">
      <w:pPr>
        <w:autoSpaceDE w:val="0"/>
        <w:autoSpaceDN w:val="0"/>
        <w:adjustRightInd w:val="0"/>
        <w:spacing w:line="360" w:lineRule="auto"/>
        <w:jc w:val="both"/>
        <w:rPr>
          <w:rFonts w:ascii="Verdana" w:hAnsi="Verdana"/>
          <w:sz w:val="22"/>
          <w:szCs w:val="22"/>
        </w:rPr>
      </w:pPr>
    </w:p>
    <w:p w:rsidR="00EC0ED1" w:rsidRPr="00807B90" w:rsidRDefault="00947F38" w:rsidP="00373191">
      <w:pPr>
        <w:pStyle w:val="ListParagraph"/>
        <w:numPr>
          <w:ilvl w:val="0"/>
          <w:numId w:val="53"/>
        </w:numPr>
        <w:autoSpaceDE w:val="0"/>
        <w:autoSpaceDN w:val="0"/>
        <w:adjustRightInd w:val="0"/>
        <w:spacing w:line="360" w:lineRule="auto"/>
        <w:ind w:left="567" w:hanging="283"/>
        <w:jc w:val="both"/>
        <w:rPr>
          <w:rFonts w:ascii="Verdana" w:hAnsi="Verdana"/>
          <w:i/>
          <w:iCs/>
          <w:sz w:val="22"/>
          <w:szCs w:val="22"/>
          <w:u w:val="single"/>
        </w:rPr>
      </w:pPr>
      <w:r>
        <w:rPr>
          <w:rFonts w:ascii="Verdana" w:hAnsi="Verdana"/>
          <w:i/>
          <w:iCs/>
          <w:sz w:val="22"/>
          <w:szCs w:val="22"/>
          <w:u w:val="single"/>
        </w:rPr>
        <w:t>Formazione fittizia del capitale (art. 2632 c.c</w:t>
      </w:r>
      <w:r w:rsidR="00EC0ED1" w:rsidRPr="00807B90">
        <w:rPr>
          <w:rFonts w:ascii="Verdana" w:hAnsi="Verdana"/>
          <w:i/>
          <w:iCs/>
          <w:sz w:val="22"/>
          <w:szCs w:val="22"/>
          <w:u w:val="single"/>
        </w:rPr>
        <w:t>.)</w:t>
      </w:r>
    </w:p>
    <w:p w:rsidR="00DE5123" w:rsidRPr="00DE5123" w:rsidRDefault="00DE5123" w:rsidP="00DE5123">
      <w:pPr>
        <w:autoSpaceDE w:val="0"/>
        <w:autoSpaceDN w:val="0"/>
        <w:adjustRightInd w:val="0"/>
        <w:spacing w:line="360" w:lineRule="auto"/>
        <w:jc w:val="both"/>
        <w:rPr>
          <w:rFonts w:ascii="Verdana" w:hAnsi="Verdana"/>
          <w:sz w:val="22"/>
          <w:szCs w:val="22"/>
        </w:rPr>
      </w:pPr>
      <w:r w:rsidRPr="00DE5123">
        <w:rPr>
          <w:rFonts w:ascii="Verdana" w:hAnsi="Verdana"/>
          <w:sz w:val="22"/>
          <w:szCs w:val="22"/>
        </w:rPr>
        <w:t>Si ha reato di formazione fittizia di capitale nel caso in cui gli amministratori e i soci conferenti formino o aumentino il capitale sociale in modo fittizio, ponendo in essere almeno una delle seguenti condotte:</w:t>
      </w:r>
    </w:p>
    <w:p w:rsidR="00DE5123" w:rsidRDefault="00DE5123" w:rsidP="00DE5123">
      <w:pPr>
        <w:pStyle w:val="ListParagraph"/>
        <w:numPr>
          <w:ilvl w:val="0"/>
          <w:numId w:val="78"/>
        </w:numPr>
        <w:autoSpaceDE w:val="0"/>
        <w:autoSpaceDN w:val="0"/>
        <w:adjustRightInd w:val="0"/>
        <w:spacing w:line="360" w:lineRule="auto"/>
        <w:jc w:val="both"/>
        <w:rPr>
          <w:rFonts w:ascii="Verdana" w:hAnsi="Verdana"/>
          <w:sz w:val="22"/>
          <w:szCs w:val="22"/>
        </w:rPr>
      </w:pPr>
      <w:r w:rsidRPr="00DE5123">
        <w:rPr>
          <w:rFonts w:ascii="Verdana" w:hAnsi="Verdana"/>
          <w:sz w:val="22"/>
          <w:szCs w:val="22"/>
        </w:rPr>
        <w:t>attribuzione di azioni o quote sociali per somma inferiore al loro valore nominale</w:t>
      </w:r>
      <w:r>
        <w:rPr>
          <w:rFonts w:ascii="Verdana" w:hAnsi="Verdana"/>
          <w:sz w:val="22"/>
          <w:szCs w:val="22"/>
        </w:rPr>
        <w:t>;</w:t>
      </w:r>
    </w:p>
    <w:p w:rsidR="00DE5123" w:rsidRDefault="00DE5123" w:rsidP="00DE5123">
      <w:pPr>
        <w:pStyle w:val="ListParagraph"/>
        <w:numPr>
          <w:ilvl w:val="0"/>
          <w:numId w:val="78"/>
        </w:numPr>
        <w:autoSpaceDE w:val="0"/>
        <w:autoSpaceDN w:val="0"/>
        <w:adjustRightInd w:val="0"/>
        <w:spacing w:line="360" w:lineRule="auto"/>
        <w:jc w:val="both"/>
        <w:rPr>
          <w:rFonts w:ascii="Verdana" w:hAnsi="Verdana"/>
          <w:sz w:val="22"/>
          <w:szCs w:val="22"/>
        </w:rPr>
      </w:pPr>
      <w:r w:rsidRPr="00DE5123">
        <w:rPr>
          <w:rFonts w:ascii="Verdana" w:hAnsi="Verdana"/>
          <w:sz w:val="22"/>
          <w:szCs w:val="22"/>
        </w:rPr>
        <w:t>sottoscrizione reciproca di azioni o quote</w:t>
      </w:r>
      <w:r>
        <w:rPr>
          <w:rFonts w:ascii="Verdana" w:hAnsi="Verdana"/>
          <w:sz w:val="22"/>
          <w:szCs w:val="22"/>
        </w:rPr>
        <w:t>;</w:t>
      </w:r>
    </w:p>
    <w:p w:rsidR="00DE5123" w:rsidRDefault="00DE5123" w:rsidP="00DE5123">
      <w:pPr>
        <w:pStyle w:val="ListParagraph"/>
        <w:numPr>
          <w:ilvl w:val="0"/>
          <w:numId w:val="78"/>
        </w:numPr>
        <w:autoSpaceDE w:val="0"/>
        <w:autoSpaceDN w:val="0"/>
        <w:adjustRightInd w:val="0"/>
        <w:spacing w:line="360" w:lineRule="auto"/>
        <w:jc w:val="both"/>
        <w:rPr>
          <w:rFonts w:ascii="Verdana" w:hAnsi="Verdana"/>
          <w:sz w:val="22"/>
          <w:szCs w:val="22"/>
        </w:rPr>
      </w:pPr>
      <w:r w:rsidRPr="00DE5123">
        <w:rPr>
          <w:rFonts w:ascii="Verdana" w:hAnsi="Verdana"/>
          <w:sz w:val="22"/>
          <w:szCs w:val="22"/>
        </w:rPr>
        <w:t>rilevante sopravvalutazione dei conferimenti</w:t>
      </w:r>
      <w:r>
        <w:rPr>
          <w:rFonts w:ascii="Verdana" w:hAnsi="Verdana"/>
          <w:sz w:val="22"/>
          <w:szCs w:val="22"/>
        </w:rPr>
        <w:t xml:space="preserve"> di beni in natura o di crediti;</w:t>
      </w:r>
    </w:p>
    <w:p w:rsidR="00EC0ED1" w:rsidRPr="00DE5123" w:rsidRDefault="00DE5123" w:rsidP="00DE5123">
      <w:pPr>
        <w:pStyle w:val="ListParagraph"/>
        <w:numPr>
          <w:ilvl w:val="0"/>
          <w:numId w:val="78"/>
        </w:numPr>
        <w:autoSpaceDE w:val="0"/>
        <w:autoSpaceDN w:val="0"/>
        <w:adjustRightInd w:val="0"/>
        <w:spacing w:line="360" w:lineRule="auto"/>
        <w:jc w:val="both"/>
        <w:rPr>
          <w:rFonts w:ascii="Verdana" w:hAnsi="Verdana"/>
          <w:sz w:val="22"/>
          <w:szCs w:val="22"/>
        </w:rPr>
      </w:pPr>
      <w:r w:rsidRPr="00DE5123">
        <w:rPr>
          <w:rFonts w:ascii="Verdana" w:hAnsi="Verdana"/>
          <w:sz w:val="22"/>
          <w:szCs w:val="22"/>
        </w:rPr>
        <w:t>in caso di trasformazione, rilevante sopravvalutazione del patrimonio della società.</w:t>
      </w:r>
    </w:p>
    <w:p w:rsidR="00DE5123" w:rsidRDefault="00DE5123">
      <w:pPr>
        <w:autoSpaceDE w:val="0"/>
        <w:autoSpaceDN w:val="0"/>
        <w:adjustRightInd w:val="0"/>
        <w:spacing w:line="360" w:lineRule="auto"/>
        <w:jc w:val="both"/>
        <w:rPr>
          <w:rFonts w:ascii="Verdana" w:hAnsi="Verdana"/>
          <w:i/>
          <w:iCs/>
          <w:sz w:val="22"/>
          <w:szCs w:val="22"/>
        </w:rPr>
      </w:pPr>
    </w:p>
    <w:p w:rsidR="00EC0ED1" w:rsidRPr="00373191" w:rsidRDefault="00063F91" w:rsidP="00373191">
      <w:pPr>
        <w:pStyle w:val="ListParagraph"/>
        <w:numPr>
          <w:ilvl w:val="0"/>
          <w:numId w:val="53"/>
        </w:numPr>
        <w:autoSpaceDE w:val="0"/>
        <w:autoSpaceDN w:val="0"/>
        <w:adjustRightInd w:val="0"/>
        <w:spacing w:line="360" w:lineRule="auto"/>
        <w:ind w:left="567" w:hanging="283"/>
        <w:jc w:val="both"/>
        <w:rPr>
          <w:rFonts w:ascii="Verdana" w:hAnsi="Verdana"/>
          <w:i/>
          <w:iCs/>
          <w:sz w:val="22"/>
          <w:szCs w:val="22"/>
          <w:u w:val="single"/>
        </w:rPr>
      </w:pPr>
      <w:r>
        <w:rPr>
          <w:rFonts w:ascii="Verdana" w:hAnsi="Verdana"/>
          <w:i/>
          <w:iCs/>
          <w:sz w:val="22"/>
          <w:szCs w:val="22"/>
          <w:u w:val="single"/>
        </w:rPr>
        <w:t>Indebita ripartizione dei beni sociali da parte dei liquidatori (art. 2633 c.c.)</w:t>
      </w:r>
    </w:p>
    <w:p w:rsidR="00063F91" w:rsidRPr="00063F91" w:rsidRDefault="00063F91" w:rsidP="00063F91">
      <w:pPr>
        <w:autoSpaceDE w:val="0"/>
        <w:autoSpaceDN w:val="0"/>
        <w:adjustRightInd w:val="0"/>
        <w:spacing w:line="360" w:lineRule="auto"/>
        <w:jc w:val="both"/>
        <w:rPr>
          <w:rFonts w:ascii="Verdana" w:hAnsi="Verdana"/>
          <w:sz w:val="22"/>
          <w:szCs w:val="22"/>
        </w:rPr>
      </w:pPr>
      <w:r w:rsidRPr="00063F91">
        <w:rPr>
          <w:rFonts w:ascii="Verdana" w:hAnsi="Verdana"/>
          <w:sz w:val="22"/>
          <w:szCs w:val="22"/>
        </w:rPr>
        <w:t>Il reato in questione si verifica nell’ipotesi in cui i liquidatori procedano alla ripartizione tra i soci di beni sociali, senza aver provveduto al pagamento dei creditori della società, ovvero all’accantonamento delle somme necessarie a soddisfarli.</w:t>
      </w:r>
    </w:p>
    <w:p w:rsidR="00EC0ED1" w:rsidRPr="00063F91" w:rsidRDefault="00063F91" w:rsidP="00063F91">
      <w:pPr>
        <w:autoSpaceDE w:val="0"/>
        <w:autoSpaceDN w:val="0"/>
        <w:adjustRightInd w:val="0"/>
        <w:spacing w:line="360" w:lineRule="auto"/>
        <w:jc w:val="both"/>
        <w:rPr>
          <w:rFonts w:ascii="Verdana" w:hAnsi="Verdana"/>
          <w:sz w:val="22"/>
          <w:szCs w:val="22"/>
        </w:rPr>
      </w:pPr>
      <w:r w:rsidRPr="00063F91">
        <w:rPr>
          <w:rFonts w:ascii="Verdana" w:hAnsi="Verdana"/>
          <w:sz w:val="22"/>
          <w:szCs w:val="22"/>
        </w:rPr>
        <w:t>Tuttavia, il reato sussiste unicamente se dalla condotta descritta derivi un danno ai creditori, e si estingue qualora il pregiudizio subito da questi ultimi sia risarcito prima del giudizio.</w:t>
      </w:r>
    </w:p>
    <w:p w:rsidR="00063F91" w:rsidRDefault="00063F91" w:rsidP="00063F91">
      <w:pPr>
        <w:spacing w:line="360" w:lineRule="auto"/>
        <w:jc w:val="both"/>
        <w:rPr>
          <w:rFonts w:ascii="Verdana" w:hAnsi="Verdana"/>
          <w:bCs/>
          <w:i/>
          <w:sz w:val="22"/>
          <w:szCs w:val="22"/>
        </w:rPr>
      </w:pPr>
    </w:p>
    <w:p w:rsidR="00063F91" w:rsidRPr="004E579F" w:rsidRDefault="00E15A73" w:rsidP="00E15A73">
      <w:pPr>
        <w:pStyle w:val="ListParagraph"/>
        <w:numPr>
          <w:ilvl w:val="0"/>
          <w:numId w:val="53"/>
        </w:numPr>
        <w:spacing w:line="360" w:lineRule="auto"/>
        <w:ind w:left="567" w:hanging="141"/>
        <w:jc w:val="both"/>
        <w:rPr>
          <w:rFonts w:ascii="Verdana" w:hAnsi="Verdana"/>
          <w:bCs/>
          <w:i/>
          <w:sz w:val="22"/>
          <w:szCs w:val="22"/>
          <w:u w:val="single"/>
        </w:rPr>
      </w:pPr>
      <w:r w:rsidRPr="004E579F">
        <w:rPr>
          <w:rFonts w:ascii="Verdana" w:hAnsi="Verdana"/>
          <w:bCs/>
          <w:i/>
          <w:sz w:val="22"/>
          <w:szCs w:val="22"/>
          <w:u w:val="single"/>
        </w:rPr>
        <w:lastRenderedPageBreak/>
        <w:t>Illecita influenza sull’assemblea (art. 2636</w:t>
      </w:r>
      <w:r w:rsidR="00063F91" w:rsidRPr="004E579F">
        <w:rPr>
          <w:rFonts w:ascii="Verdana" w:hAnsi="Verdana"/>
          <w:bCs/>
          <w:i/>
          <w:sz w:val="22"/>
          <w:szCs w:val="22"/>
          <w:u w:val="single"/>
        </w:rPr>
        <w:t xml:space="preserve"> c.c.)</w:t>
      </w:r>
    </w:p>
    <w:p w:rsidR="00E15A73" w:rsidRPr="00E15A73" w:rsidRDefault="00E15A73" w:rsidP="00E15A73">
      <w:pPr>
        <w:spacing w:line="360" w:lineRule="auto"/>
        <w:jc w:val="both"/>
        <w:rPr>
          <w:rFonts w:ascii="Verdana" w:hAnsi="Verdana"/>
          <w:bCs/>
          <w:sz w:val="22"/>
          <w:szCs w:val="22"/>
        </w:rPr>
      </w:pPr>
      <w:r w:rsidRPr="00E15A73">
        <w:rPr>
          <w:rFonts w:ascii="Verdana" w:hAnsi="Verdana"/>
          <w:bCs/>
          <w:sz w:val="22"/>
          <w:szCs w:val="22"/>
        </w:rPr>
        <w:t>Il reato in questione si perfeziona attraverso il compimento di atti simulati o fraudolenti, da chiunque posti in essere e a prescindere dalla finalità perseguita, che abbiano quale effetto la formazione di una maggioranza artificiosa all’interno dell’assemblea sociale.</w:t>
      </w:r>
    </w:p>
    <w:p w:rsidR="00063F91" w:rsidRDefault="00063F91" w:rsidP="00063F91">
      <w:pPr>
        <w:spacing w:line="360" w:lineRule="auto"/>
        <w:jc w:val="both"/>
        <w:rPr>
          <w:rFonts w:ascii="Verdana" w:hAnsi="Verdana"/>
          <w:bCs/>
          <w:i/>
          <w:sz w:val="22"/>
          <w:szCs w:val="22"/>
        </w:rPr>
      </w:pPr>
    </w:p>
    <w:p w:rsidR="00C06C91" w:rsidRPr="004E579F" w:rsidRDefault="00C06C91" w:rsidP="00C06C91">
      <w:pPr>
        <w:pStyle w:val="ListParagraph"/>
        <w:numPr>
          <w:ilvl w:val="0"/>
          <w:numId w:val="53"/>
        </w:numPr>
        <w:spacing w:line="360" w:lineRule="auto"/>
        <w:ind w:left="567" w:hanging="141"/>
        <w:jc w:val="both"/>
        <w:rPr>
          <w:rFonts w:ascii="Verdana" w:hAnsi="Verdana"/>
          <w:bCs/>
          <w:i/>
          <w:sz w:val="22"/>
          <w:szCs w:val="22"/>
          <w:u w:val="single"/>
        </w:rPr>
      </w:pPr>
      <w:r w:rsidRPr="004E579F">
        <w:rPr>
          <w:rFonts w:ascii="Verdana" w:hAnsi="Verdana"/>
          <w:bCs/>
          <w:i/>
          <w:sz w:val="22"/>
          <w:szCs w:val="22"/>
          <w:u w:val="single"/>
        </w:rPr>
        <w:t>Aggiotaggio (art. 2637 c.c.)</w:t>
      </w:r>
    </w:p>
    <w:p w:rsidR="00063F91" w:rsidRPr="00C06C91" w:rsidRDefault="00C06C91" w:rsidP="00063F91">
      <w:pPr>
        <w:spacing w:line="360" w:lineRule="auto"/>
        <w:jc w:val="both"/>
        <w:rPr>
          <w:rFonts w:ascii="Verdana" w:hAnsi="Verdana"/>
          <w:bCs/>
          <w:sz w:val="22"/>
          <w:szCs w:val="22"/>
        </w:rPr>
      </w:pPr>
      <w:r w:rsidRPr="00C06C91">
        <w:rPr>
          <w:rFonts w:ascii="Verdana" w:hAnsi="Verdana"/>
          <w:bCs/>
          <w:sz w:val="22"/>
          <w:szCs w:val="22"/>
        </w:rPr>
        <w:t>Chiunque diffonde notizie false, ovvero pone in essere operazioni simulate o altri artifici concretamente idonei a provocare una sensibile alterazione del prezzo di strumenti finanziari non quotati o per i quali non è stata presentata una richiesta di ammissione alle negoziazioni in un mercato regolamentato, ovvero ad incidere in modo significativo sull'affidamento che il pubblico ripone nella stabilità patrimoniale d</w:t>
      </w:r>
      <w:r w:rsidR="007735EC">
        <w:rPr>
          <w:rFonts w:ascii="Verdana" w:hAnsi="Verdana"/>
          <w:bCs/>
          <w:sz w:val="22"/>
          <w:szCs w:val="22"/>
        </w:rPr>
        <w:t>i banche o di gruppi bancari, è</w:t>
      </w:r>
      <w:r w:rsidRPr="00C06C91">
        <w:rPr>
          <w:rFonts w:ascii="Verdana" w:hAnsi="Verdana"/>
          <w:bCs/>
          <w:sz w:val="22"/>
          <w:szCs w:val="22"/>
        </w:rPr>
        <w:t xml:space="preserve"> punito con la pena della reclusione da uno a cinque anni.</w:t>
      </w:r>
    </w:p>
    <w:p w:rsidR="00063F91" w:rsidRDefault="00063F91" w:rsidP="00063F91">
      <w:pPr>
        <w:spacing w:line="360" w:lineRule="auto"/>
        <w:jc w:val="both"/>
        <w:rPr>
          <w:rFonts w:ascii="Verdana" w:hAnsi="Verdana"/>
          <w:bCs/>
          <w:i/>
          <w:sz w:val="22"/>
          <w:szCs w:val="22"/>
        </w:rPr>
      </w:pPr>
    </w:p>
    <w:p w:rsidR="000705E3" w:rsidRPr="003A1DF3" w:rsidRDefault="000705E3" w:rsidP="000705E3">
      <w:pPr>
        <w:pStyle w:val="ListParagraph"/>
        <w:numPr>
          <w:ilvl w:val="0"/>
          <w:numId w:val="53"/>
        </w:numPr>
        <w:spacing w:line="360" w:lineRule="auto"/>
        <w:ind w:left="567" w:hanging="141"/>
        <w:jc w:val="both"/>
        <w:rPr>
          <w:rFonts w:ascii="Verdana" w:hAnsi="Verdana"/>
          <w:bCs/>
          <w:i/>
          <w:sz w:val="22"/>
          <w:szCs w:val="22"/>
          <w:u w:val="single"/>
        </w:rPr>
      </w:pPr>
      <w:r w:rsidRPr="003A1DF3">
        <w:rPr>
          <w:rFonts w:ascii="Verdana" w:hAnsi="Verdana"/>
          <w:bCs/>
          <w:i/>
          <w:sz w:val="22"/>
          <w:szCs w:val="22"/>
          <w:u w:val="single"/>
        </w:rPr>
        <w:t>Ostacolo all’esercizio delle funzioni delle Autorità P</w:t>
      </w:r>
      <w:r w:rsidR="00DF6C91" w:rsidRPr="003A1DF3">
        <w:rPr>
          <w:rFonts w:ascii="Verdana" w:hAnsi="Verdana"/>
          <w:bCs/>
          <w:i/>
          <w:sz w:val="22"/>
          <w:szCs w:val="22"/>
          <w:u w:val="single"/>
        </w:rPr>
        <w:t>ubbliche di Vigilanza (art. 2638</w:t>
      </w:r>
      <w:r w:rsidRPr="003A1DF3">
        <w:rPr>
          <w:rFonts w:ascii="Verdana" w:hAnsi="Verdana"/>
          <w:bCs/>
          <w:i/>
          <w:sz w:val="22"/>
          <w:szCs w:val="22"/>
          <w:u w:val="single"/>
        </w:rPr>
        <w:t xml:space="preserve"> c.c.)</w:t>
      </w:r>
    </w:p>
    <w:p w:rsidR="000705E3" w:rsidRPr="000705E3" w:rsidRDefault="000705E3" w:rsidP="000705E3">
      <w:pPr>
        <w:autoSpaceDE w:val="0"/>
        <w:autoSpaceDN w:val="0"/>
        <w:adjustRightInd w:val="0"/>
        <w:spacing w:line="360" w:lineRule="auto"/>
        <w:jc w:val="both"/>
        <w:rPr>
          <w:rFonts w:ascii="Verdana" w:hAnsi="Verdana"/>
          <w:bCs/>
          <w:sz w:val="22"/>
          <w:szCs w:val="22"/>
        </w:rPr>
      </w:pPr>
      <w:r w:rsidRPr="000705E3">
        <w:rPr>
          <w:rFonts w:ascii="Verdana" w:hAnsi="Verdana"/>
          <w:bCs/>
          <w:sz w:val="22"/>
          <w:szCs w:val="22"/>
        </w:rPr>
        <w:t>Gli amministratori, i direttori generali, i dirigenti preposti alla redazione dei documenti contabili societari, i sindaci e i liquidatori di società o enti e gli altri soggetti sottoposti per legge alle autorità pubbliche di vigilanza, o tenuti ad obblighi nei loro confronti, i quali nelle comunicazioni alle predette autorità previste in base alla legge, al fine di ostacolare l’esercizio delle funzioni di vigilanza, espongono fatti materiali non rispondenti al vero, ancorché oggetto di valutazioni, sulla situazione economica, patrimoniale o finanziaria dei sottoposti alla vigilanza ovvero, allo stesso fine, occultano con altri mezzi fraudolenti, in tutto o in parte fatti che avrebbero dovuto comunicare, concernenti la situazione medesima, sono puniti con la reclusione da uno a quattro anni. La punibilità è estesa anche al caso in cui le informazioni riguardino beni posseduti o amministrati dalla società per conto di terzi.</w:t>
      </w:r>
    </w:p>
    <w:p w:rsidR="00EC0ED1" w:rsidRPr="000705E3" w:rsidRDefault="000705E3" w:rsidP="000705E3">
      <w:pPr>
        <w:autoSpaceDE w:val="0"/>
        <w:autoSpaceDN w:val="0"/>
        <w:adjustRightInd w:val="0"/>
        <w:spacing w:line="360" w:lineRule="auto"/>
        <w:jc w:val="both"/>
        <w:rPr>
          <w:rFonts w:ascii="Verdana" w:hAnsi="Verdana"/>
          <w:bCs/>
          <w:sz w:val="22"/>
          <w:szCs w:val="22"/>
        </w:rPr>
      </w:pPr>
      <w:r w:rsidRPr="000705E3">
        <w:rPr>
          <w:rFonts w:ascii="Verdana" w:hAnsi="Verdana"/>
          <w:bCs/>
          <w:sz w:val="22"/>
          <w:szCs w:val="22"/>
        </w:rPr>
        <w:t>Sono puniti con la stessa pena gli amministratori, i direttori generali, i dirigenti preposti alla redazione dei documenti contabili societari</w:t>
      </w:r>
      <w:r w:rsidR="000247D8">
        <w:rPr>
          <w:rFonts w:ascii="Verdana" w:hAnsi="Verdana"/>
          <w:bCs/>
          <w:sz w:val="22"/>
          <w:szCs w:val="22"/>
        </w:rPr>
        <w:t>,</w:t>
      </w:r>
      <w:r w:rsidRPr="000705E3">
        <w:rPr>
          <w:rFonts w:ascii="Verdana" w:hAnsi="Verdana"/>
          <w:bCs/>
          <w:sz w:val="22"/>
          <w:szCs w:val="22"/>
        </w:rPr>
        <w:t xml:space="preserve"> i sindaci e i liquidatori di società, o enti e gli altri soggetti sottoposti per legge alle autorità pubbliche di vigilanza o tenuti ad obblighi nei loro confronti, i quali, in qualsiasi forma, anche omettendo le comunicazioni dovute alle predette autorità, consapevolmente ne ostacolano le funzioni.</w:t>
      </w:r>
    </w:p>
    <w:p w:rsidR="00727A79" w:rsidRDefault="00727A79">
      <w:pPr>
        <w:widowControl/>
        <w:rPr>
          <w:rFonts w:ascii="Verdana" w:hAnsi="Verdana"/>
          <w:b/>
          <w:bCs/>
          <w:sz w:val="22"/>
          <w:szCs w:val="22"/>
        </w:rPr>
      </w:pPr>
      <w:r>
        <w:rPr>
          <w:rFonts w:ascii="Verdana" w:hAnsi="Verdana"/>
          <w:b/>
          <w:bCs/>
          <w:sz w:val="22"/>
          <w:szCs w:val="22"/>
        </w:rPr>
        <w:br w:type="page"/>
      </w:r>
    </w:p>
    <w:p w:rsidR="00EC0ED1" w:rsidRDefault="00F77E1C" w:rsidP="00B04528">
      <w:pPr>
        <w:pStyle w:val="Heading1"/>
        <w:spacing w:before="0" w:after="0" w:line="360" w:lineRule="auto"/>
        <w:rPr>
          <w:rFonts w:ascii="Verdana" w:hAnsi="Verdana"/>
        </w:rPr>
      </w:pPr>
      <w:bookmarkStart w:id="3" w:name="_Toc421885308"/>
      <w:r>
        <w:rPr>
          <w:rFonts w:ascii="Verdana" w:hAnsi="Verdana"/>
        </w:rPr>
        <w:lastRenderedPageBreak/>
        <w:t>3</w:t>
      </w:r>
      <w:r w:rsidR="00967211">
        <w:rPr>
          <w:rFonts w:ascii="Verdana" w:hAnsi="Verdana"/>
        </w:rPr>
        <w:t xml:space="preserve">. </w:t>
      </w:r>
      <w:r w:rsidR="002B68F5">
        <w:rPr>
          <w:rFonts w:ascii="Verdana" w:hAnsi="Verdana"/>
        </w:rPr>
        <w:t>Le potenziali a</w:t>
      </w:r>
      <w:r w:rsidR="00AC3909">
        <w:rPr>
          <w:rFonts w:ascii="Verdana" w:hAnsi="Verdana"/>
        </w:rPr>
        <w:t>ree a rischio</w:t>
      </w:r>
      <w:r w:rsidR="002B68F5">
        <w:rPr>
          <w:rFonts w:ascii="Verdana" w:hAnsi="Verdana"/>
        </w:rPr>
        <w:t xml:space="preserve"> reato</w:t>
      </w:r>
      <w:r w:rsidR="00AC3909">
        <w:rPr>
          <w:rFonts w:ascii="Verdana" w:hAnsi="Verdana"/>
        </w:rPr>
        <w:t xml:space="preserve"> </w:t>
      </w:r>
      <w:r w:rsidR="00EC0ED1">
        <w:rPr>
          <w:rFonts w:ascii="Verdana" w:hAnsi="Verdana"/>
        </w:rPr>
        <w:t xml:space="preserve">- </w:t>
      </w:r>
      <w:r w:rsidR="002B68F5">
        <w:rPr>
          <w:rFonts w:ascii="Verdana" w:hAnsi="Verdana"/>
        </w:rPr>
        <w:t xml:space="preserve">Le </w:t>
      </w:r>
      <w:r w:rsidR="00EC0ED1">
        <w:rPr>
          <w:rFonts w:ascii="Verdana" w:hAnsi="Verdana"/>
        </w:rPr>
        <w:t>Attività Sensibili</w:t>
      </w:r>
      <w:bookmarkEnd w:id="3"/>
    </w:p>
    <w:p w:rsidR="00EC0ED1" w:rsidRDefault="00EC0ED1" w:rsidP="00B04528">
      <w:pPr>
        <w:spacing w:line="360" w:lineRule="auto"/>
        <w:jc w:val="both"/>
        <w:rPr>
          <w:rFonts w:ascii="Verdana" w:hAnsi="Verdana"/>
          <w:sz w:val="22"/>
          <w:szCs w:val="22"/>
        </w:rPr>
      </w:pPr>
      <w:r>
        <w:rPr>
          <w:rFonts w:ascii="Verdana" w:hAnsi="Verdana"/>
          <w:sz w:val="22"/>
          <w:szCs w:val="22"/>
        </w:rPr>
        <w:t>In occasione dell’atti</w:t>
      </w:r>
      <w:r w:rsidR="00BF391F">
        <w:rPr>
          <w:rFonts w:ascii="Verdana" w:hAnsi="Verdana"/>
          <w:sz w:val="22"/>
          <w:szCs w:val="22"/>
        </w:rPr>
        <w:t>vità preparatoria all’aggiornamento</w:t>
      </w:r>
      <w:r>
        <w:rPr>
          <w:rFonts w:ascii="Verdana" w:hAnsi="Verdana"/>
          <w:sz w:val="22"/>
          <w:szCs w:val="22"/>
        </w:rPr>
        <w:t xml:space="preserve"> del Modello, sono state individuate, nell’ambito della struttura organizzativa dell’Ente, delle aree considerate “a rischio reato”, ossia dei settori aziendali rispetto ai quali è stato ritenuto </w:t>
      </w:r>
      <w:r>
        <w:rPr>
          <w:rFonts w:ascii="Verdana" w:hAnsi="Verdana"/>
          <w:i/>
          <w:iCs/>
          <w:sz w:val="22"/>
          <w:szCs w:val="22"/>
        </w:rPr>
        <w:t>astrattamente</w:t>
      </w:r>
      <w:r>
        <w:rPr>
          <w:rFonts w:ascii="Verdana" w:hAnsi="Verdana"/>
          <w:sz w:val="22"/>
          <w:szCs w:val="22"/>
        </w:rPr>
        <w:t xml:space="preserve"> sussistente il rischio di commissione dei reati </w:t>
      </w:r>
      <w:r w:rsidR="00701545">
        <w:rPr>
          <w:rFonts w:ascii="Verdana" w:hAnsi="Verdana"/>
          <w:sz w:val="22"/>
          <w:szCs w:val="22"/>
        </w:rPr>
        <w:t>societari.</w:t>
      </w:r>
    </w:p>
    <w:p w:rsidR="00EC0ED1" w:rsidRDefault="00EC0ED1">
      <w:pPr>
        <w:spacing w:line="360" w:lineRule="auto"/>
        <w:jc w:val="both"/>
        <w:rPr>
          <w:rFonts w:ascii="Verdana" w:hAnsi="Verdana"/>
          <w:sz w:val="22"/>
          <w:szCs w:val="22"/>
        </w:rPr>
      </w:pPr>
      <w:r>
        <w:rPr>
          <w:rFonts w:ascii="Verdana" w:hAnsi="Verdana"/>
          <w:sz w:val="22"/>
          <w:szCs w:val="22"/>
        </w:rPr>
        <w:t xml:space="preserve">Nell’ambito di ciascuna Area a rischio reato, sono state identificate sia le “attività sensibili’’ e sia i ruoli aziendali coinvolti nell’esecuzione delle stesse. Infine, sono stati individuati i reati </w:t>
      </w:r>
      <w:r>
        <w:rPr>
          <w:rFonts w:ascii="Verdana" w:hAnsi="Verdana"/>
          <w:i/>
          <w:sz w:val="22"/>
          <w:szCs w:val="22"/>
        </w:rPr>
        <w:t>astrattamente</w:t>
      </w:r>
      <w:r>
        <w:rPr>
          <w:rFonts w:ascii="Verdana" w:hAnsi="Verdana"/>
          <w:sz w:val="22"/>
          <w:szCs w:val="22"/>
        </w:rPr>
        <w:t xml:space="preserve"> realizzabili. </w:t>
      </w:r>
    </w:p>
    <w:p w:rsidR="00EC0ED1" w:rsidRDefault="00EC0ED1">
      <w:pPr>
        <w:autoSpaceDE w:val="0"/>
        <w:autoSpaceDN w:val="0"/>
        <w:adjustRightInd w:val="0"/>
        <w:spacing w:line="360" w:lineRule="auto"/>
        <w:jc w:val="both"/>
        <w:rPr>
          <w:rFonts w:ascii="Verdana" w:hAnsi="Verdana"/>
          <w:sz w:val="22"/>
          <w:szCs w:val="22"/>
        </w:rPr>
      </w:pPr>
    </w:p>
    <w:p w:rsidR="00EC0ED1" w:rsidRDefault="00EC0ED1">
      <w:pPr>
        <w:autoSpaceDE w:val="0"/>
        <w:autoSpaceDN w:val="0"/>
        <w:adjustRightInd w:val="0"/>
        <w:spacing w:line="360" w:lineRule="auto"/>
        <w:jc w:val="both"/>
        <w:rPr>
          <w:rFonts w:ascii="Verdana" w:hAnsi="Verdana"/>
          <w:b/>
          <w:sz w:val="22"/>
          <w:szCs w:val="22"/>
        </w:rPr>
      </w:pPr>
      <w:r>
        <w:rPr>
          <w:rFonts w:ascii="Verdana" w:hAnsi="Verdana"/>
          <w:sz w:val="22"/>
          <w:szCs w:val="22"/>
        </w:rPr>
        <w:t>Di seguito si riporta la sintesi di quanto descritto:</w:t>
      </w:r>
    </w:p>
    <w:p w:rsidR="00D86F14" w:rsidRDefault="00D86F14" w:rsidP="00D86F14">
      <w:pPr>
        <w:spacing w:line="360" w:lineRule="auto"/>
        <w:jc w:val="both"/>
        <w:rPr>
          <w:rFonts w:ascii="Verdana" w:hAnsi="Verdana" w:cs="Arial"/>
          <w:sz w:val="22"/>
          <w:szCs w:val="22"/>
        </w:rPr>
      </w:pPr>
    </w:p>
    <w:p w:rsidR="00D86F14" w:rsidRDefault="00D86F14" w:rsidP="00D86F14">
      <w:pPr>
        <w:numPr>
          <w:ilvl w:val="0"/>
          <w:numId w:val="4"/>
        </w:numPr>
        <w:spacing w:line="360" w:lineRule="auto"/>
        <w:ind w:hanging="720"/>
        <w:jc w:val="both"/>
        <w:rPr>
          <w:rFonts w:ascii="Verdana" w:hAnsi="Verdana"/>
          <w:b/>
          <w:iCs/>
          <w:szCs w:val="24"/>
        </w:rPr>
      </w:pPr>
      <w:r>
        <w:rPr>
          <w:rFonts w:ascii="Verdana" w:hAnsi="Verdana"/>
          <w:b/>
          <w:iCs/>
          <w:szCs w:val="24"/>
        </w:rPr>
        <w:t xml:space="preserve">Area a rischio n.1: </w:t>
      </w:r>
      <w:r w:rsidRPr="00212209">
        <w:rPr>
          <w:rFonts w:ascii="Verdana" w:hAnsi="Verdana"/>
          <w:b/>
          <w:iCs/>
          <w:szCs w:val="24"/>
        </w:rPr>
        <w:t>CONTABILITÀ E BILANCIO</w:t>
      </w:r>
    </w:p>
    <w:p w:rsidR="00B0129C" w:rsidRPr="00B0129C" w:rsidRDefault="00B0129C" w:rsidP="00B0129C">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790DAB" w:rsidRDefault="00790DAB" w:rsidP="00B0129C">
      <w:pPr>
        <w:widowControl/>
        <w:spacing w:line="360" w:lineRule="auto"/>
        <w:rPr>
          <w:rFonts w:ascii="Verdana" w:hAnsi="Verdana" w:cs="Arial"/>
          <w:sz w:val="22"/>
          <w:szCs w:val="22"/>
        </w:rPr>
      </w:pPr>
    </w:p>
    <w:p w:rsidR="004A3236" w:rsidRDefault="00316A61" w:rsidP="00B0129C">
      <w:pPr>
        <w:numPr>
          <w:ilvl w:val="0"/>
          <w:numId w:val="4"/>
        </w:numPr>
        <w:spacing w:line="360" w:lineRule="auto"/>
        <w:ind w:hanging="720"/>
        <w:jc w:val="both"/>
        <w:rPr>
          <w:rFonts w:ascii="Verdana" w:hAnsi="Verdana"/>
          <w:b/>
          <w:iCs/>
          <w:szCs w:val="24"/>
        </w:rPr>
      </w:pPr>
      <w:r>
        <w:rPr>
          <w:rFonts w:ascii="Verdana" w:hAnsi="Verdana"/>
          <w:b/>
          <w:iCs/>
          <w:szCs w:val="24"/>
        </w:rPr>
        <w:t>Area a rischio n.2</w:t>
      </w:r>
      <w:r w:rsidR="004A3236">
        <w:rPr>
          <w:rFonts w:ascii="Verdana" w:hAnsi="Verdana"/>
          <w:b/>
          <w:iCs/>
          <w:szCs w:val="24"/>
        </w:rPr>
        <w:t xml:space="preserve">: </w:t>
      </w:r>
      <w:r w:rsidR="00B40CCF">
        <w:rPr>
          <w:rFonts w:ascii="Verdana" w:hAnsi="Verdana"/>
          <w:b/>
          <w:iCs/>
          <w:szCs w:val="24"/>
        </w:rPr>
        <w:t>CONTABILITÀ E BILANCIO RELATIVA ALLE ATTIVITÀ DELLA COLONIA HANSENIANA</w:t>
      </w:r>
    </w:p>
    <w:p w:rsidR="004A3236" w:rsidRDefault="004A3236" w:rsidP="00B0129C">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316A61" w:rsidRPr="00316A61" w:rsidRDefault="00316A61" w:rsidP="00316A61">
      <w:pPr>
        <w:spacing w:line="360" w:lineRule="auto"/>
        <w:jc w:val="both"/>
        <w:rPr>
          <w:rFonts w:ascii="Verdana" w:hAnsi="Verdana" w:cs="Arial"/>
          <w:sz w:val="22"/>
          <w:szCs w:val="22"/>
        </w:rPr>
      </w:pPr>
    </w:p>
    <w:p w:rsidR="00D86F14" w:rsidRPr="004E1D37" w:rsidRDefault="00316A61" w:rsidP="00D86F14">
      <w:pPr>
        <w:numPr>
          <w:ilvl w:val="0"/>
          <w:numId w:val="4"/>
        </w:numPr>
        <w:spacing w:line="360" w:lineRule="auto"/>
        <w:ind w:hanging="720"/>
        <w:jc w:val="both"/>
        <w:rPr>
          <w:rFonts w:ascii="Verdana" w:hAnsi="Verdana"/>
          <w:sz w:val="22"/>
          <w:szCs w:val="22"/>
          <w:u w:val="single"/>
        </w:rPr>
      </w:pPr>
      <w:r>
        <w:rPr>
          <w:rFonts w:ascii="Verdana" w:hAnsi="Verdana"/>
          <w:b/>
          <w:iCs/>
          <w:szCs w:val="24"/>
        </w:rPr>
        <w:t>Area a rischio n.3</w:t>
      </w:r>
      <w:r w:rsidR="00D86F14" w:rsidRPr="004E1D37">
        <w:rPr>
          <w:rFonts w:ascii="Verdana" w:hAnsi="Verdana"/>
          <w:b/>
          <w:iCs/>
          <w:szCs w:val="24"/>
        </w:rPr>
        <w:t>: TESORERIA</w:t>
      </w:r>
    </w:p>
    <w:p w:rsidR="00D86F14" w:rsidRPr="004E1D37" w:rsidRDefault="00D86F14" w:rsidP="00D86F14">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D86F14" w:rsidRPr="004E1D37" w:rsidRDefault="00D86F14" w:rsidP="00D86F14">
      <w:pPr>
        <w:spacing w:line="360" w:lineRule="auto"/>
        <w:jc w:val="both"/>
        <w:rPr>
          <w:rFonts w:ascii="Verdana" w:hAnsi="Verdana" w:cs="Arial"/>
          <w:sz w:val="22"/>
          <w:szCs w:val="22"/>
        </w:rPr>
      </w:pPr>
    </w:p>
    <w:p w:rsidR="00D86F14" w:rsidRPr="004E1D37" w:rsidRDefault="0028504B" w:rsidP="00D86F14">
      <w:pPr>
        <w:numPr>
          <w:ilvl w:val="0"/>
          <w:numId w:val="4"/>
        </w:numPr>
        <w:spacing w:line="360" w:lineRule="auto"/>
        <w:ind w:hanging="720"/>
        <w:jc w:val="both"/>
        <w:rPr>
          <w:rFonts w:ascii="Verdana" w:hAnsi="Verdana"/>
          <w:sz w:val="22"/>
          <w:szCs w:val="22"/>
          <w:u w:val="single"/>
        </w:rPr>
      </w:pPr>
      <w:r>
        <w:rPr>
          <w:rFonts w:ascii="Verdana" w:hAnsi="Verdana"/>
          <w:b/>
          <w:iCs/>
          <w:szCs w:val="24"/>
        </w:rPr>
        <w:t>Area a rischio n.4</w:t>
      </w:r>
      <w:r w:rsidR="00D86F14" w:rsidRPr="004E1D37">
        <w:rPr>
          <w:rFonts w:ascii="Verdana" w:hAnsi="Verdana"/>
          <w:b/>
          <w:iCs/>
          <w:szCs w:val="24"/>
        </w:rPr>
        <w:t>: BUDGET E CONTROLLO DI GESTIONE</w:t>
      </w:r>
    </w:p>
    <w:p w:rsidR="00D86F14" w:rsidRPr="004E1D37" w:rsidRDefault="00D86F14" w:rsidP="00B0129C">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F63D51" w:rsidRDefault="00F63D51" w:rsidP="00B0129C">
      <w:pPr>
        <w:widowControl/>
        <w:spacing w:line="360" w:lineRule="auto"/>
        <w:rPr>
          <w:rFonts w:ascii="Verdana" w:hAnsi="Verdana" w:cs="Arial"/>
          <w:sz w:val="22"/>
          <w:szCs w:val="22"/>
        </w:rPr>
      </w:pPr>
    </w:p>
    <w:p w:rsidR="00D86F14" w:rsidRPr="004E1D37" w:rsidRDefault="00D86F14" w:rsidP="00B0129C">
      <w:pPr>
        <w:numPr>
          <w:ilvl w:val="0"/>
          <w:numId w:val="4"/>
        </w:numPr>
        <w:spacing w:line="360" w:lineRule="auto"/>
        <w:ind w:hanging="720"/>
        <w:jc w:val="both"/>
        <w:rPr>
          <w:rFonts w:ascii="Verdana" w:hAnsi="Verdana"/>
          <w:sz w:val="22"/>
          <w:szCs w:val="22"/>
          <w:u w:val="single"/>
        </w:rPr>
      </w:pPr>
      <w:r w:rsidRPr="004E1D37">
        <w:rPr>
          <w:rFonts w:ascii="Verdana" w:hAnsi="Verdana"/>
          <w:b/>
          <w:iCs/>
          <w:szCs w:val="24"/>
        </w:rPr>
        <w:t xml:space="preserve">Area a </w:t>
      </w:r>
      <w:r w:rsidR="0028504B">
        <w:rPr>
          <w:rFonts w:ascii="Verdana" w:hAnsi="Verdana"/>
          <w:b/>
          <w:iCs/>
          <w:szCs w:val="24"/>
        </w:rPr>
        <w:t>rischio n.5</w:t>
      </w:r>
      <w:r w:rsidRPr="004E1D37">
        <w:rPr>
          <w:rFonts w:ascii="Verdana" w:hAnsi="Verdana"/>
          <w:b/>
          <w:iCs/>
          <w:szCs w:val="24"/>
        </w:rPr>
        <w:t>: CONTABILITÀ FORNITORI</w:t>
      </w:r>
    </w:p>
    <w:p w:rsidR="00D86F14" w:rsidRPr="004E1D37" w:rsidRDefault="00D86F14" w:rsidP="00B0129C">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D86F14" w:rsidRPr="004E1D37" w:rsidRDefault="00D86F14" w:rsidP="00D86F14">
      <w:pPr>
        <w:spacing w:line="360" w:lineRule="auto"/>
        <w:jc w:val="both"/>
        <w:rPr>
          <w:rFonts w:ascii="Verdana" w:hAnsi="Verdana" w:cs="Arial"/>
          <w:sz w:val="22"/>
          <w:szCs w:val="22"/>
        </w:rPr>
      </w:pPr>
    </w:p>
    <w:p w:rsidR="00D86F14" w:rsidRPr="004E1D37" w:rsidRDefault="0028504B" w:rsidP="00D86F14">
      <w:pPr>
        <w:numPr>
          <w:ilvl w:val="0"/>
          <w:numId w:val="4"/>
        </w:numPr>
        <w:spacing w:line="360" w:lineRule="auto"/>
        <w:ind w:hanging="720"/>
        <w:jc w:val="both"/>
        <w:rPr>
          <w:rFonts w:ascii="Verdana" w:hAnsi="Verdana"/>
          <w:b/>
          <w:sz w:val="22"/>
          <w:szCs w:val="22"/>
          <w:u w:val="single"/>
        </w:rPr>
      </w:pPr>
      <w:r>
        <w:rPr>
          <w:rFonts w:ascii="Verdana" w:hAnsi="Verdana"/>
          <w:b/>
          <w:iCs/>
          <w:szCs w:val="24"/>
        </w:rPr>
        <w:t>Area a rischio n.6</w:t>
      </w:r>
      <w:r w:rsidR="00D86F14" w:rsidRPr="004E1D37">
        <w:rPr>
          <w:rFonts w:ascii="Verdana" w:hAnsi="Verdana"/>
          <w:b/>
          <w:iCs/>
          <w:szCs w:val="24"/>
        </w:rPr>
        <w:t>: CONTABILITÀ CLIENTI</w:t>
      </w:r>
    </w:p>
    <w:p w:rsidR="00B0129C" w:rsidRDefault="00B0129C" w:rsidP="00D86F14">
      <w:pPr>
        <w:spacing w:line="360" w:lineRule="auto"/>
        <w:jc w:val="both"/>
        <w:rPr>
          <w:rFonts w:ascii="Verdana" w:hAnsi="Verdana"/>
          <w:b/>
          <w:sz w:val="22"/>
          <w:szCs w:val="22"/>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lastRenderedPageBreak/>
        <w:t>OMISSIS</w:t>
      </w:r>
    </w:p>
    <w:p w:rsidR="00B0129C" w:rsidRDefault="00B0129C" w:rsidP="00B0129C">
      <w:pPr>
        <w:widowControl/>
        <w:spacing w:line="360" w:lineRule="auto"/>
        <w:rPr>
          <w:rFonts w:ascii="Verdana" w:hAnsi="Verdana" w:cs="Arial"/>
          <w:sz w:val="22"/>
          <w:szCs w:val="22"/>
        </w:rPr>
      </w:pPr>
    </w:p>
    <w:p w:rsidR="00D86F14" w:rsidRPr="004E1D37" w:rsidRDefault="0028504B" w:rsidP="00B0129C">
      <w:pPr>
        <w:numPr>
          <w:ilvl w:val="0"/>
          <w:numId w:val="4"/>
        </w:numPr>
        <w:spacing w:line="360" w:lineRule="auto"/>
        <w:ind w:hanging="720"/>
        <w:jc w:val="both"/>
        <w:rPr>
          <w:rFonts w:ascii="Verdana" w:hAnsi="Verdana"/>
          <w:b/>
          <w:iCs/>
          <w:szCs w:val="24"/>
        </w:rPr>
      </w:pPr>
      <w:r>
        <w:rPr>
          <w:rFonts w:ascii="Verdana" w:hAnsi="Verdana"/>
          <w:b/>
          <w:iCs/>
          <w:szCs w:val="24"/>
        </w:rPr>
        <w:t>Area a rischio n.7</w:t>
      </w:r>
      <w:r w:rsidR="00D86F14" w:rsidRPr="004E1D37">
        <w:rPr>
          <w:rFonts w:ascii="Verdana" w:hAnsi="Verdana"/>
          <w:b/>
          <w:iCs/>
          <w:szCs w:val="24"/>
        </w:rPr>
        <w:t xml:space="preserve">: AMMINISTRAZIONE DEL PERSONALE </w:t>
      </w:r>
    </w:p>
    <w:p w:rsidR="00D86F14" w:rsidRPr="004E1D37" w:rsidRDefault="00D86F14" w:rsidP="00B0129C">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B0129C" w:rsidRDefault="00B0129C" w:rsidP="00B0129C">
      <w:pPr>
        <w:widowControl/>
        <w:spacing w:line="360" w:lineRule="auto"/>
        <w:rPr>
          <w:rFonts w:ascii="Verdana" w:hAnsi="Verdana" w:cs="Arial"/>
          <w:sz w:val="22"/>
          <w:szCs w:val="22"/>
        </w:rPr>
      </w:pPr>
    </w:p>
    <w:p w:rsidR="00EC0ED1" w:rsidRPr="004E1D37" w:rsidRDefault="00EC0ED1" w:rsidP="00B0129C">
      <w:pPr>
        <w:numPr>
          <w:ilvl w:val="0"/>
          <w:numId w:val="4"/>
        </w:numPr>
        <w:spacing w:line="360" w:lineRule="auto"/>
        <w:ind w:hanging="720"/>
        <w:jc w:val="both"/>
        <w:rPr>
          <w:rFonts w:ascii="Verdana" w:hAnsi="Verdana"/>
          <w:b/>
          <w:iCs/>
          <w:szCs w:val="24"/>
        </w:rPr>
      </w:pPr>
      <w:r w:rsidRPr="004E1D37">
        <w:rPr>
          <w:rFonts w:ascii="Verdana" w:hAnsi="Verdana"/>
          <w:b/>
          <w:iCs/>
          <w:szCs w:val="24"/>
        </w:rPr>
        <w:t>Ar</w:t>
      </w:r>
      <w:r w:rsidR="004255A8" w:rsidRPr="004E1D37">
        <w:rPr>
          <w:rFonts w:ascii="Verdana" w:hAnsi="Verdana"/>
          <w:b/>
          <w:iCs/>
          <w:szCs w:val="24"/>
        </w:rPr>
        <w:t>ea a rischio n.</w:t>
      </w:r>
      <w:r w:rsidR="0028504B">
        <w:rPr>
          <w:rFonts w:ascii="Verdana" w:hAnsi="Verdana"/>
          <w:b/>
          <w:iCs/>
          <w:szCs w:val="24"/>
        </w:rPr>
        <w:t>8</w:t>
      </w:r>
      <w:r w:rsidR="008D06FA" w:rsidRPr="004E1D37">
        <w:rPr>
          <w:rFonts w:ascii="Verdana" w:hAnsi="Verdana"/>
          <w:b/>
          <w:iCs/>
          <w:szCs w:val="24"/>
        </w:rPr>
        <w:t xml:space="preserve">: </w:t>
      </w:r>
      <w:r w:rsidRPr="004E1D37">
        <w:rPr>
          <w:rFonts w:ascii="Verdana" w:hAnsi="Verdana"/>
          <w:b/>
          <w:iCs/>
          <w:szCs w:val="24"/>
        </w:rPr>
        <w:t xml:space="preserve">GESTIONE DRG: PRESTAZIONI OSPEDALIERE IN REGIME DI RICOVERO, DAY HOSPITAL, DAY SURGERY </w:t>
      </w:r>
    </w:p>
    <w:p w:rsidR="00EC0ED1" w:rsidRPr="004E1D37" w:rsidRDefault="00EC0ED1" w:rsidP="00B0129C">
      <w:pPr>
        <w:pStyle w:val="Title"/>
        <w:jc w:val="both"/>
        <w:rPr>
          <w:rFonts w:ascii="Verdana" w:hAnsi="Verdana"/>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E25EC7" w:rsidRDefault="00E25EC7" w:rsidP="00B0129C">
      <w:pPr>
        <w:widowControl/>
        <w:spacing w:line="360" w:lineRule="auto"/>
        <w:rPr>
          <w:rFonts w:ascii="Verdana" w:hAnsi="Verdana" w:cs="Arial"/>
          <w:sz w:val="22"/>
          <w:szCs w:val="22"/>
        </w:rPr>
      </w:pPr>
    </w:p>
    <w:p w:rsidR="00EC0ED1" w:rsidRDefault="004255A8" w:rsidP="00B0129C">
      <w:pPr>
        <w:numPr>
          <w:ilvl w:val="0"/>
          <w:numId w:val="4"/>
        </w:numPr>
        <w:spacing w:line="360" w:lineRule="auto"/>
        <w:ind w:hanging="720"/>
        <w:jc w:val="both"/>
        <w:rPr>
          <w:rFonts w:ascii="Verdana" w:hAnsi="Verdana"/>
          <w:b/>
          <w:iCs/>
          <w:szCs w:val="24"/>
        </w:rPr>
      </w:pPr>
      <w:r>
        <w:rPr>
          <w:rFonts w:ascii="Verdana" w:hAnsi="Verdana"/>
          <w:b/>
          <w:iCs/>
          <w:szCs w:val="24"/>
        </w:rPr>
        <w:t>Area a rischio n.</w:t>
      </w:r>
      <w:r w:rsidR="0028504B">
        <w:rPr>
          <w:rFonts w:ascii="Verdana" w:hAnsi="Verdana"/>
          <w:b/>
          <w:iCs/>
          <w:szCs w:val="24"/>
        </w:rPr>
        <w:t>9</w:t>
      </w:r>
      <w:r w:rsidR="000D2B3A">
        <w:rPr>
          <w:rFonts w:ascii="Verdana" w:hAnsi="Verdana"/>
          <w:b/>
          <w:iCs/>
          <w:szCs w:val="24"/>
        </w:rPr>
        <w:t xml:space="preserve">: </w:t>
      </w:r>
      <w:r w:rsidR="00EC0ED1">
        <w:rPr>
          <w:rFonts w:ascii="Verdana" w:hAnsi="Verdana"/>
          <w:b/>
          <w:iCs/>
          <w:szCs w:val="24"/>
        </w:rPr>
        <w:t>GESTIONE PRESTAZION</w:t>
      </w:r>
      <w:r>
        <w:rPr>
          <w:rFonts w:ascii="Verdana" w:hAnsi="Verdana"/>
          <w:b/>
          <w:iCs/>
          <w:szCs w:val="24"/>
        </w:rPr>
        <w:t>I SPECIALISTICHE AMBULATORIALI</w:t>
      </w:r>
    </w:p>
    <w:p w:rsidR="00EC0ED1" w:rsidRDefault="00EC0ED1">
      <w:pPr>
        <w:spacing w:line="360" w:lineRule="auto"/>
        <w:jc w:val="both"/>
        <w:rPr>
          <w:rFonts w:ascii="Verdana" w:hAnsi="Verdana"/>
          <w:b/>
          <w:sz w:val="22"/>
          <w:szCs w:val="22"/>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8443C2" w:rsidRPr="008443C2" w:rsidRDefault="008443C2" w:rsidP="008443C2">
      <w:pPr>
        <w:spacing w:line="360" w:lineRule="auto"/>
        <w:ind w:left="360"/>
        <w:jc w:val="both"/>
        <w:rPr>
          <w:rFonts w:ascii="Verdana" w:hAnsi="Verdana" w:cs="Arial"/>
          <w:sz w:val="22"/>
          <w:szCs w:val="22"/>
        </w:rPr>
      </w:pPr>
    </w:p>
    <w:p w:rsidR="00EC0ED1" w:rsidRDefault="00BC0F15">
      <w:pPr>
        <w:numPr>
          <w:ilvl w:val="0"/>
          <w:numId w:val="4"/>
        </w:numPr>
        <w:spacing w:line="360" w:lineRule="auto"/>
        <w:ind w:hanging="720"/>
        <w:jc w:val="both"/>
        <w:rPr>
          <w:rFonts w:ascii="Verdana" w:hAnsi="Verdana"/>
          <w:b/>
          <w:iCs/>
          <w:szCs w:val="24"/>
        </w:rPr>
      </w:pPr>
      <w:r>
        <w:rPr>
          <w:rFonts w:ascii="Verdana" w:hAnsi="Verdana"/>
          <w:b/>
          <w:iCs/>
          <w:szCs w:val="24"/>
        </w:rPr>
        <w:t xml:space="preserve">Area a </w:t>
      </w:r>
      <w:r w:rsidR="00500BFB">
        <w:rPr>
          <w:rFonts w:ascii="Verdana" w:hAnsi="Verdana"/>
          <w:b/>
          <w:iCs/>
          <w:szCs w:val="24"/>
        </w:rPr>
        <w:t>rischio n.</w:t>
      </w:r>
      <w:r w:rsidR="0028504B">
        <w:rPr>
          <w:rFonts w:ascii="Verdana" w:hAnsi="Verdana"/>
          <w:b/>
          <w:iCs/>
          <w:szCs w:val="24"/>
        </w:rPr>
        <w:t>10</w:t>
      </w:r>
      <w:r>
        <w:rPr>
          <w:rFonts w:ascii="Verdana" w:hAnsi="Verdana"/>
          <w:b/>
          <w:iCs/>
          <w:szCs w:val="24"/>
        </w:rPr>
        <w:t xml:space="preserve">: </w:t>
      </w:r>
      <w:r w:rsidR="00EC0ED1">
        <w:rPr>
          <w:rFonts w:ascii="Verdana" w:hAnsi="Verdana"/>
          <w:b/>
          <w:iCs/>
          <w:szCs w:val="24"/>
        </w:rPr>
        <w:t>SPERIMENTAZIONI CLINICHE</w:t>
      </w:r>
    </w:p>
    <w:p w:rsidR="00EC0ED1" w:rsidRDefault="00EC0ED1">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706E7A" w:rsidRDefault="00706E7A" w:rsidP="00BC3D72">
      <w:pPr>
        <w:spacing w:line="360" w:lineRule="auto"/>
        <w:ind w:left="360"/>
        <w:jc w:val="both"/>
        <w:rPr>
          <w:rFonts w:ascii="Verdana" w:hAnsi="Verdana" w:cs="Arial"/>
          <w:sz w:val="22"/>
          <w:szCs w:val="22"/>
        </w:rPr>
      </w:pPr>
    </w:p>
    <w:p w:rsidR="000D2B3A" w:rsidRPr="0000251B" w:rsidRDefault="004D529C" w:rsidP="000D2B3A">
      <w:pPr>
        <w:numPr>
          <w:ilvl w:val="0"/>
          <w:numId w:val="4"/>
        </w:numPr>
        <w:spacing w:line="360" w:lineRule="auto"/>
        <w:ind w:hanging="720"/>
        <w:jc w:val="both"/>
        <w:rPr>
          <w:rFonts w:ascii="Verdana" w:hAnsi="Verdana"/>
          <w:b/>
          <w:iCs/>
          <w:szCs w:val="24"/>
        </w:rPr>
      </w:pPr>
      <w:r>
        <w:rPr>
          <w:rFonts w:ascii="Verdana" w:hAnsi="Verdana"/>
          <w:b/>
          <w:iCs/>
          <w:szCs w:val="24"/>
        </w:rPr>
        <w:t>Area a rischio n.</w:t>
      </w:r>
      <w:r w:rsidR="0028504B">
        <w:rPr>
          <w:rFonts w:ascii="Verdana" w:hAnsi="Verdana"/>
          <w:b/>
          <w:iCs/>
          <w:szCs w:val="24"/>
        </w:rPr>
        <w:t>11</w:t>
      </w:r>
      <w:r w:rsidR="000D2B3A" w:rsidRPr="0000251B">
        <w:rPr>
          <w:rFonts w:ascii="Verdana" w:hAnsi="Verdana"/>
          <w:b/>
          <w:iCs/>
          <w:szCs w:val="24"/>
        </w:rPr>
        <w:t xml:space="preserve">: GESTIONE DEI RICOVERI SOLVENTI </w:t>
      </w:r>
    </w:p>
    <w:p w:rsidR="000D2B3A" w:rsidRPr="0000251B" w:rsidRDefault="000D2B3A" w:rsidP="000D2B3A">
      <w:pPr>
        <w:pStyle w:val="Title"/>
        <w:jc w:val="both"/>
        <w:rPr>
          <w:rFonts w:ascii="Verdana" w:hAnsi="Verdana"/>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CB61ED" w:rsidRDefault="00CB61ED" w:rsidP="00B0129C">
      <w:pPr>
        <w:spacing w:line="360" w:lineRule="auto"/>
        <w:jc w:val="both"/>
        <w:rPr>
          <w:rFonts w:ascii="Verdana" w:hAnsi="Verdana" w:cs="Arial"/>
          <w:sz w:val="22"/>
          <w:szCs w:val="22"/>
          <w:highlight w:val="yellow"/>
        </w:rPr>
      </w:pPr>
    </w:p>
    <w:p w:rsidR="00D24827" w:rsidRDefault="00D24827" w:rsidP="00B0129C">
      <w:pPr>
        <w:numPr>
          <w:ilvl w:val="0"/>
          <w:numId w:val="4"/>
        </w:numPr>
        <w:spacing w:line="360" w:lineRule="auto"/>
        <w:ind w:hanging="720"/>
        <w:jc w:val="both"/>
        <w:rPr>
          <w:rFonts w:ascii="Verdana" w:hAnsi="Verdana"/>
          <w:b/>
          <w:iCs/>
          <w:szCs w:val="24"/>
        </w:rPr>
      </w:pPr>
      <w:r>
        <w:rPr>
          <w:rFonts w:ascii="Verdana" w:hAnsi="Verdana"/>
          <w:b/>
          <w:iCs/>
          <w:szCs w:val="24"/>
        </w:rPr>
        <w:t>Area a rischio n.</w:t>
      </w:r>
      <w:r w:rsidR="0028504B">
        <w:rPr>
          <w:rFonts w:ascii="Verdana" w:hAnsi="Verdana"/>
          <w:b/>
          <w:iCs/>
          <w:szCs w:val="24"/>
        </w:rPr>
        <w:t>12</w:t>
      </w:r>
      <w:r>
        <w:rPr>
          <w:rFonts w:ascii="Verdana" w:hAnsi="Verdana"/>
          <w:b/>
          <w:iCs/>
          <w:szCs w:val="24"/>
        </w:rPr>
        <w:t xml:space="preserve">: </w:t>
      </w:r>
      <w:r w:rsidR="00AA185B">
        <w:rPr>
          <w:rFonts w:ascii="Verdana" w:hAnsi="Verdana"/>
          <w:b/>
          <w:iCs/>
          <w:szCs w:val="24"/>
        </w:rPr>
        <w:t>ACQUISTO DI BENI, SERVIZI E CONSULENZE</w:t>
      </w:r>
      <w:r w:rsidR="00AA185B">
        <w:rPr>
          <w:rStyle w:val="FootnoteReference"/>
          <w:rFonts w:ascii="Verdana" w:hAnsi="Verdana"/>
          <w:b/>
          <w:iCs/>
          <w:szCs w:val="24"/>
        </w:rPr>
        <w:footnoteReference w:id="1"/>
      </w:r>
    </w:p>
    <w:p w:rsidR="00D24827" w:rsidRDefault="00D24827" w:rsidP="00B0129C">
      <w:pPr>
        <w:spacing w:line="360" w:lineRule="auto"/>
        <w:jc w:val="both"/>
        <w:rPr>
          <w:rFonts w:ascii="Verdana" w:hAnsi="Verdana"/>
          <w:b/>
          <w:sz w:val="22"/>
          <w:szCs w:val="22"/>
          <w:u w:val="single"/>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DD3B2C" w:rsidRDefault="00DD3B2C">
      <w:pPr>
        <w:widowControl/>
        <w:rPr>
          <w:rFonts w:ascii="Verdana" w:hAnsi="Verdana" w:cs="Arial"/>
          <w:sz w:val="22"/>
          <w:szCs w:val="22"/>
        </w:rPr>
      </w:pPr>
    </w:p>
    <w:p w:rsidR="00B0129C" w:rsidRDefault="00B0129C">
      <w:pPr>
        <w:widowControl/>
        <w:rPr>
          <w:rFonts w:ascii="Verdana" w:hAnsi="Verdana" w:cs="Arial"/>
          <w:sz w:val="22"/>
          <w:szCs w:val="22"/>
        </w:rPr>
      </w:pPr>
      <w:r>
        <w:rPr>
          <w:rFonts w:ascii="Verdana" w:hAnsi="Verdana" w:cs="Arial"/>
          <w:sz w:val="22"/>
          <w:szCs w:val="22"/>
        </w:rPr>
        <w:br w:type="page"/>
      </w:r>
    </w:p>
    <w:p w:rsidR="00EC0ED1" w:rsidRPr="00023DB6" w:rsidRDefault="00BA0EE2" w:rsidP="00F77E1C">
      <w:pPr>
        <w:pStyle w:val="Heading1"/>
        <w:spacing w:line="360" w:lineRule="auto"/>
        <w:rPr>
          <w:rFonts w:ascii="Verdana" w:hAnsi="Verdana"/>
          <w:sz w:val="22"/>
          <w:szCs w:val="22"/>
        </w:rPr>
      </w:pPr>
      <w:bookmarkStart w:id="4" w:name="_Toc421885309"/>
      <w:r>
        <w:rPr>
          <w:rFonts w:ascii="Verdana" w:hAnsi="Verdana"/>
        </w:rPr>
        <w:lastRenderedPageBreak/>
        <w:t>4</w:t>
      </w:r>
      <w:r w:rsidR="00DD3B2C">
        <w:rPr>
          <w:rFonts w:ascii="Verdana" w:hAnsi="Verdana"/>
        </w:rPr>
        <w:t xml:space="preserve">. </w:t>
      </w:r>
      <w:r w:rsidR="00EC0ED1">
        <w:rPr>
          <w:rFonts w:ascii="Verdana" w:hAnsi="Verdana"/>
        </w:rPr>
        <w:t>Principi generali di comportamento e punti di controllo</w:t>
      </w:r>
      <w:bookmarkEnd w:id="4"/>
    </w:p>
    <w:p w:rsidR="00EC0ED1" w:rsidRDefault="00EC0ED1" w:rsidP="00F77E1C">
      <w:pPr>
        <w:autoSpaceDE w:val="0"/>
        <w:autoSpaceDN w:val="0"/>
        <w:adjustRightInd w:val="0"/>
        <w:spacing w:line="360" w:lineRule="auto"/>
        <w:jc w:val="both"/>
        <w:rPr>
          <w:rFonts w:ascii="Verdana" w:hAnsi="Verdana"/>
          <w:sz w:val="22"/>
          <w:szCs w:val="22"/>
        </w:rPr>
      </w:pPr>
      <w:r>
        <w:rPr>
          <w:rFonts w:ascii="Verdana" w:hAnsi="Verdana"/>
          <w:sz w:val="22"/>
          <w:szCs w:val="22"/>
        </w:rPr>
        <w:t xml:space="preserve">Sono, di seguito, individuati i seguenti principi di carattere generale che devono essere rispettati da </w:t>
      </w:r>
      <w:r w:rsidR="00E32476">
        <w:rPr>
          <w:rFonts w:ascii="Verdana" w:hAnsi="Verdana"/>
          <w:sz w:val="22"/>
          <w:szCs w:val="22"/>
        </w:rPr>
        <w:t>tutti i Destinatari del Modello</w:t>
      </w:r>
      <w:r w:rsidR="00FD213D">
        <w:rPr>
          <w:rFonts w:ascii="Verdana" w:hAnsi="Verdana"/>
          <w:sz w:val="22"/>
          <w:szCs w:val="22"/>
        </w:rPr>
        <w:t xml:space="preserve"> e </w:t>
      </w:r>
      <w:r>
        <w:rPr>
          <w:rFonts w:ascii="Verdana" w:hAnsi="Verdana"/>
          <w:sz w:val="22"/>
          <w:szCs w:val="22"/>
        </w:rPr>
        <w:t>che devono considerarsi integrativi dei principi e delle norme di comportamento espressamente individuate nel Codice Etico.</w:t>
      </w:r>
    </w:p>
    <w:p w:rsidR="00E32476" w:rsidRDefault="00E32476">
      <w:pPr>
        <w:autoSpaceDE w:val="0"/>
        <w:autoSpaceDN w:val="0"/>
        <w:adjustRightInd w:val="0"/>
        <w:spacing w:line="360" w:lineRule="auto"/>
        <w:jc w:val="both"/>
        <w:rPr>
          <w:rFonts w:ascii="Verdana" w:hAnsi="Verdana"/>
          <w:sz w:val="22"/>
          <w:szCs w:val="22"/>
        </w:rPr>
      </w:pPr>
    </w:p>
    <w:p w:rsidR="00EC0ED1" w:rsidRDefault="00EC0ED1">
      <w:pPr>
        <w:autoSpaceDE w:val="0"/>
        <w:autoSpaceDN w:val="0"/>
        <w:adjustRightInd w:val="0"/>
        <w:spacing w:line="360" w:lineRule="auto"/>
        <w:jc w:val="both"/>
        <w:rPr>
          <w:rFonts w:ascii="Verdana" w:hAnsi="Verdana"/>
          <w:sz w:val="22"/>
          <w:szCs w:val="22"/>
        </w:rPr>
      </w:pPr>
      <w:r>
        <w:rPr>
          <w:rFonts w:ascii="Verdana" w:hAnsi="Verdana"/>
          <w:sz w:val="22"/>
          <w:szCs w:val="22"/>
        </w:rPr>
        <w:t>E’ fatto divieto di porre in essere, collaborare o dare causa alla realizzazione di comportamenti tali che, considerati singolarmente o complessivamente, siano idonei ad integrare l</w:t>
      </w:r>
      <w:r w:rsidR="002D5D2C">
        <w:rPr>
          <w:rFonts w:ascii="Verdana" w:hAnsi="Verdana"/>
          <w:sz w:val="22"/>
          <w:szCs w:val="22"/>
        </w:rPr>
        <w:t>e</w:t>
      </w:r>
      <w:r w:rsidR="00E32476">
        <w:rPr>
          <w:rFonts w:ascii="Verdana" w:hAnsi="Verdana"/>
          <w:sz w:val="22"/>
          <w:szCs w:val="22"/>
        </w:rPr>
        <w:t xml:space="preserve"> </w:t>
      </w:r>
      <w:r>
        <w:rPr>
          <w:rFonts w:ascii="Verdana" w:hAnsi="Verdana"/>
          <w:sz w:val="22"/>
          <w:szCs w:val="22"/>
        </w:rPr>
        <w:t>fattispecie di reat</w:t>
      </w:r>
      <w:r w:rsidR="00E32476">
        <w:rPr>
          <w:rFonts w:ascii="Verdana" w:hAnsi="Verdana"/>
          <w:sz w:val="22"/>
          <w:szCs w:val="22"/>
        </w:rPr>
        <w:t>o rientrant</w:t>
      </w:r>
      <w:r w:rsidR="002D5D2C">
        <w:rPr>
          <w:rFonts w:ascii="Verdana" w:hAnsi="Verdana"/>
          <w:sz w:val="22"/>
          <w:szCs w:val="22"/>
        </w:rPr>
        <w:t>i</w:t>
      </w:r>
      <w:r>
        <w:rPr>
          <w:rFonts w:ascii="Verdana" w:hAnsi="Verdana"/>
          <w:sz w:val="22"/>
          <w:szCs w:val="22"/>
        </w:rPr>
        <w:t xml:space="preserve"> tr</w:t>
      </w:r>
      <w:r w:rsidR="00EC2C64">
        <w:rPr>
          <w:rFonts w:ascii="Verdana" w:hAnsi="Verdana"/>
          <w:sz w:val="22"/>
          <w:szCs w:val="22"/>
        </w:rPr>
        <w:t xml:space="preserve">a quelle sopra considerate (art. </w:t>
      </w:r>
      <w:r>
        <w:rPr>
          <w:rFonts w:ascii="Verdana" w:hAnsi="Verdana"/>
          <w:sz w:val="22"/>
          <w:szCs w:val="22"/>
        </w:rPr>
        <w:t>25</w:t>
      </w:r>
      <w:r w:rsidR="00EC2C64" w:rsidRPr="00EC2C64">
        <w:rPr>
          <w:rFonts w:ascii="Verdana" w:hAnsi="Verdana"/>
          <w:i/>
          <w:sz w:val="22"/>
          <w:szCs w:val="22"/>
        </w:rPr>
        <w:t>-ter</w:t>
      </w:r>
      <w:r>
        <w:rPr>
          <w:rFonts w:ascii="Verdana" w:hAnsi="Verdana"/>
          <w:sz w:val="22"/>
          <w:szCs w:val="22"/>
        </w:rPr>
        <w:t xml:space="preserve"> del </w:t>
      </w:r>
      <w:proofErr w:type="spellStart"/>
      <w:r>
        <w:rPr>
          <w:rFonts w:ascii="Verdana" w:hAnsi="Verdana"/>
          <w:sz w:val="22"/>
          <w:szCs w:val="22"/>
        </w:rPr>
        <w:t>D.Lgs.</w:t>
      </w:r>
      <w:proofErr w:type="spellEnd"/>
      <w:r>
        <w:rPr>
          <w:rFonts w:ascii="Verdana" w:hAnsi="Verdana"/>
          <w:sz w:val="22"/>
          <w:szCs w:val="22"/>
        </w:rPr>
        <w:t xml:space="preserve"> n. 231/2001). </w:t>
      </w:r>
    </w:p>
    <w:p w:rsidR="00EC0ED1" w:rsidRDefault="00EC0ED1">
      <w:pPr>
        <w:autoSpaceDE w:val="0"/>
        <w:autoSpaceDN w:val="0"/>
        <w:adjustRightInd w:val="0"/>
        <w:spacing w:line="360" w:lineRule="auto"/>
        <w:jc w:val="both"/>
        <w:rPr>
          <w:rFonts w:ascii="Verdana" w:hAnsi="Verdana"/>
          <w:sz w:val="22"/>
          <w:szCs w:val="22"/>
        </w:rPr>
      </w:pPr>
    </w:p>
    <w:p w:rsidR="00EC0ED1" w:rsidRDefault="00EC0ED1" w:rsidP="002170C4">
      <w:pPr>
        <w:autoSpaceDE w:val="0"/>
        <w:autoSpaceDN w:val="0"/>
        <w:adjustRightInd w:val="0"/>
        <w:spacing w:line="360" w:lineRule="auto"/>
        <w:jc w:val="both"/>
        <w:rPr>
          <w:rFonts w:ascii="Verdana" w:hAnsi="Verdana"/>
          <w:sz w:val="22"/>
          <w:szCs w:val="22"/>
        </w:rPr>
      </w:pPr>
      <w:r>
        <w:rPr>
          <w:rFonts w:ascii="Verdana" w:hAnsi="Verdana"/>
          <w:sz w:val="22"/>
          <w:szCs w:val="22"/>
        </w:rPr>
        <w:t>In particolare, è fatto divieto di:</w:t>
      </w:r>
    </w:p>
    <w:p w:rsidR="00EC0ED1" w:rsidRDefault="00907B62" w:rsidP="002170C4">
      <w:pPr>
        <w:autoSpaceDE w:val="0"/>
        <w:autoSpaceDN w:val="0"/>
        <w:adjustRightInd w:val="0"/>
        <w:spacing w:line="360" w:lineRule="auto"/>
        <w:jc w:val="both"/>
        <w:rPr>
          <w:rFonts w:ascii="Verdana" w:hAnsi="Verdana"/>
          <w:sz w:val="22"/>
          <w:szCs w:val="22"/>
        </w:rPr>
      </w:pPr>
      <w:r>
        <w:rPr>
          <w:rFonts w:ascii="Verdana" w:hAnsi="Verdana"/>
          <w:sz w:val="22"/>
          <w:szCs w:val="22"/>
        </w:rPr>
        <w:t xml:space="preserve">a) </w:t>
      </w:r>
      <w:r w:rsidRPr="00907B62">
        <w:rPr>
          <w:rFonts w:ascii="Verdana" w:hAnsi="Verdana"/>
          <w:sz w:val="22"/>
          <w:szCs w:val="22"/>
        </w:rPr>
        <w:t>indicare o inviare per l’elaborazione o l’inserimento nel bilancio, nelle relazioni e nelle altre comunicazioni sociali previste dalla legge dati falsi, artefatti, incompleti o comunque non rispondenti al vero, sulla situazione economica, p</w:t>
      </w:r>
      <w:r w:rsidR="00DF6563">
        <w:rPr>
          <w:rFonts w:ascii="Verdana" w:hAnsi="Verdana"/>
          <w:sz w:val="22"/>
          <w:szCs w:val="22"/>
        </w:rPr>
        <w:t>atrimoniale o finanziaria dell’Ente</w:t>
      </w:r>
      <w:r w:rsidRPr="00907B62">
        <w:rPr>
          <w:rFonts w:ascii="Verdana" w:hAnsi="Verdana"/>
          <w:sz w:val="22"/>
          <w:szCs w:val="22"/>
        </w:rPr>
        <w:t>;</w:t>
      </w:r>
    </w:p>
    <w:p w:rsidR="00EC0ED1" w:rsidRPr="00F17EE2" w:rsidRDefault="00EC0ED1" w:rsidP="00907B62">
      <w:pPr>
        <w:autoSpaceDE w:val="0"/>
        <w:autoSpaceDN w:val="0"/>
        <w:adjustRightInd w:val="0"/>
        <w:spacing w:line="360" w:lineRule="auto"/>
        <w:jc w:val="both"/>
        <w:rPr>
          <w:rFonts w:ascii="Verdana" w:hAnsi="Verdana"/>
          <w:sz w:val="22"/>
          <w:szCs w:val="22"/>
        </w:rPr>
      </w:pPr>
      <w:r w:rsidRPr="00F17EE2">
        <w:rPr>
          <w:rFonts w:ascii="Verdana" w:hAnsi="Verdana"/>
          <w:sz w:val="22"/>
          <w:szCs w:val="22"/>
        </w:rPr>
        <w:t xml:space="preserve">b) </w:t>
      </w:r>
      <w:r w:rsidR="00907B62" w:rsidRPr="00F17EE2">
        <w:rPr>
          <w:rFonts w:ascii="Verdana" w:hAnsi="Verdana"/>
          <w:sz w:val="22"/>
          <w:szCs w:val="22"/>
        </w:rPr>
        <w:t>porre in essere attività e/o operazioni volte a creare disponibilità extracontabili (ad esempio ricorrendo a fatture per operazioni inesistenti o alla sovra fatturazione), ovvero volte a creare “fondi n</w:t>
      </w:r>
      <w:r w:rsidR="000100CA">
        <w:rPr>
          <w:rFonts w:ascii="Verdana" w:hAnsi="Verdana"/>
          <w:sz w:val="22"/>
          <w:szCs w:val="22"/>
        </w:rPr>
        <w:t>eri” o “contabilità parallele”.</w:t>
      </w:r>
    </w:p>
    <w:p w:rsidR="00EC0ED1" w:rsidRPr="00F17EE2" w:rsidRDefault="00EC0ED1" w:rsidP="002170C4">
      <w:pPr>
        <w:autoSpaceDE w:val="0"/>
        <w:autoSpaceDN w:val="0"/>
        <w:adjustRightInd w:val="0"/>
        <w:spacing w:line="360" w:lineRule="auto"/>
        <w:jc w:val="both"/>
        <w:rPr>
          <w:rFonts w:ascii="Verdana" w:hAnsi="Verdana"/>
          <w:sz w:val="22"/>
          <w:szCs w:val="22"/>
        </w:rPr>
      </w:pPr>
      <w:r w:rsidRPr="00F17EE2">
        <w:rPr>
          <w:rFonts w:ascii="Verdana" w:hAnsi="Verdana"/>
          <w:sz w:val="22"/>
          <w:szCs w:val="22"/>
        </w:rPr>
        <w:t xml:space="preserve">c) </w:t>
      </w:r>
      <w:r w:rsidR="00907B62" w:rsidRPr="00F17EE2">
        <w:rPr>
          <w:rFonts w:ascii="Verdana" w:hAnsi="Verdana"/>
          <w:sz w:val="22"/>
          <w:szCs w:val="22"/>
        </w:rPr>
        <w:t xml:space="preserve">porre in pericolo o recare pregiudizio al </w:t>
      </w:r>
      <w:r w:rsidR="00DF6563">
        <w:rPr>
          <w:rFonts w:ascii="Verdana" w:hAnsi="Verdana"/>
          <w:sz w:val="22"/>
          <w:szCs w:val="22"/>
        </w:rPr>
        <w:t>patrimonio dell’Ente;</w:t>
      </w:r>
    </w:p>
    <w:p w:rsidR="00EC0ED1" w:rsidRPr="00F17EE2" w:rsidRDefault="00EC0ED1" w:rsidP="002170C4">
      <w:pPr>
        <w:autoSpaceDE w:val="0"/>
        <w:autoSpaceDN w:val="0"/>
        <w:adjustRightInd w:val="0"/>
        <w:spacing w:line="360" w:lineRule="auto"/>
        <w:jc w:val="both"/>
        <w:rPr>
          <w:rFonts w:ascii="Verdana" w:hAnsi="Verdana"/>
          <w:sz w:val="22"/>
          <w:szCs w:val="22"/>
        </w:rPr>
      </w:pPr>
      <w:r w:rsidRPr="00F17EE2">
        <w:rPr>
          <w:rFonts w:ascii="Verdana" w:hAnsi="Verdana"/>
          <w:sz w:val="22"/>
          <w:szCs w:val="22"/>
        </w:rPr>
        <w:t xml:space="preserve">d) </w:t>
      </w:r>
      <w:r w:rsidR="00907B62" w:rsidRPr="00F17EE2">
        <w:rPr>
          <w:rFonts w:ascii="Verdana" w:hAnsi="Verdana"/>
          <w:sz w:val="22"/>
          <w:szCs w:val="22"/>
        </w:rPr>
        <w:t>porre in essere comportamenti che possano compromettere la corretta</w:t>
      </w:r>
      <w:r w:rsidR="00DF6563">
        <w:rPr>
          <w:rFonts w:ascii="Verdana" w:hAnsi="Verdana"/>
          <w:sz w:val="22"/>
          <w:szCs w:val="22"/>
        </w:rPr>
        <w:t xml:space="preserve"> operatività degli organi dell’Ente,</w:t>
      </w:r>
      <w:r w:rsidR="00907B62" w:rsidRPr="00F17EE2">
        <w:rPr>
          <w:rFonts w:ascii="Verdana" w:hAnsi="Verdana"/>
          <w:sz w:val="22"/>
          <w:szCs w:val="22"/>
        </w:rPr>
        <w:t xml:space="preserve"> dei revisori o recare pregiudizio ai creditori</w:t>
      </w:r>
      <w:r w:rsidR="00E32476" w:rsidRPr="00F17EE2">
        <w:rPr>
          <w:rFonts w:ascii="Verdana" w:hAnsi="Verdana"/>
          <w:sz w:val="22"/>
          <w:szCs w:val="22"/>
        </w:rPr>
        <w:t>.</w:t>
      </w:r>
    </w:p>
    <w:p w:rsidR="00EC0ED1" w:rsidRDefault="00EC0ED1" w:rsidP="002170C4">
      <w:pPr>
        <w:autoSpaceDE w:val="0"/>
        <w:autoSpaceDN w:val="0"/>
        <w:adjustRightInd w:val="0"/>
        <w:spacing w:line="360" w:lineRule="auto"/>
        <w:jc w:val="both"/>
        <w:rPr>
          <w:rFonts w:ascii="Verdana" w:hAnsi="Verdana"/>
          <w:b/>
          <w:bCs/>
          <w:sz w:val="22"/>
          <w:szCs w:val="22"/>
        </w:rPr>
      </w:pPr>
    </w:p>
    <w:p w:rsidR="00EC0ED1" w:rsidRDefault="00EC0ED1" w:rsidP="002170C4">
      <w:pPr>
        <w:pStyle w:val="BodyText2"/>
        <w:spacing w:after="0" w:line="360" w:lineRule="auto"/>
        <w:jc w:val="both"/>
        <w:rPr>
          <w:rFonts w:ascii="Verdana" w:hAnsi="Verdana"/>
          <w:sz w:val="22"/>
          <w:szCs w:val="22"/>
        </w:rPr>
      </w:pPr>
      <w:r>
        <w:rPr>
          <w:rFonts w:ascii="Verdana" w:hAnsi="Verdana"/>
          <w:sz w:val="22"/>
          <w:szCs w:val="22"/>
        </w:rPr>
        <w:t>Devono, inoltre, essere fedelmente rispettati i seguenti principi e punti di controllo:</w:t>
      </w:r>
    </w:p>
    <w:p w:rsidR="00EC0ED1" w:rsidRDefault="00037701"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 xml:space="preserve">1) </w:t>
      </w:r>
      <w:r w:rsidRPr="00037701">
        <w:rPr>
          <w:rFonts w:ascii="Verdana" w:hAnsi="Verdana"/>
          <w:bCs/>
          <w:sz w:val="22"/>
          <w:szCs w:val="22"/>
        </w:rPr>
        <w:t>obbligo di astenersi dal porre in essere o in qualsiasi modo contribuire alla realizzazione delle fatti</w:t>
      </w:r>
      <w:r>
        <w:rPr>
          <w:rFonts w:ascii="Verdana" w:hAnsi="Verdana"/>
          <w:bCs/>
          <w:sz w:val="22"/>
          <w:szCs w:val="22"/>
        </w:rPr>
        <w:t>specie di reato di cui all’art</w:t>
      </w:r>
      <w:r w:rsidRPr="00037701">
        <w:rPr>
          <w:rFonts w:ascii="Verdana" w:hAnsi="Verdana"/>
          <w:bCs/>
          <w:sz w:val="22"/>
          <w:szCs w:val="22"/>
        </w:rPr>
        <w:t>. 25 ter;</w:t>
      </w:r>
    </w:p>
    <w:p w:rsidR="00037701" w:rsidRDefault="00037701"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 xml:space="preserve">2) assunzione </w:t>
      </w:r>
      <w:r w:rsidRPr="00037701">
        <w:rPr>
          <w:rFonts w:ascii="Verdana" w:hAnsi="Verdana"/>
          <w:bCs/>
          <w:sz w:val="22"/>
          <w:szCs w:val="22"/>
        </w:rPr>
        <w:t>di un comportamento corretto, trasparente e collaborativo, nel rispetto delle norme di legge e delle procedure operative, in tutte le attività finalizzate alla formazione del bilancio e delle altre comunicazioni sociali, a</w:t>
      </w:r>
      <w:r w:rsidR="00F17EE2">
        <w:rPr>
          <w:rFonts w:ascii="Verdana" w:hAnsi="Verdana"/>
          <w:bCs/>
          <w:sz w:val="22"/>
          <w:szCs w:val="22"/>
        </w:rPr>
        <w:t xml:space="preserve">l fine di fornire a </w:t>
      </w:r>
      <w:r w:rsidRPr="00037701">
        <w:rPr>
          <w:rFonts w:ascii="Verdana" w:hAnsi="Verdana"/>
          <w:bCs/>
          <w:sz w:val="22"/>
          <w:szCs w:val="22"/>
        </w:rPr>
        <w:t>terzi un’informazione veritiera e corretta sulla situazione economica, patrimoniale e finanziaria</w:t>
      </w:r>
      <w:r>
        <w:rPr>
          <w:rFonts w:ascii="Verdana" w:hAnsi="Verdana"/>
          <w:bCs/>
          <w:sz w:val="22"/>
          <w:szCs w:val="22"/>
        </w:rPr>
        <w:t>;</w:t>
      </w:r>
    </w:p>
    <w:p w:rsidR="0099523B" w:rsidRDefault="0099523B"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 xml:space="preserve">3) assunzione di un comportamento corretto e trasparente, nel rispetto delle norme di legge e delle procedure operative, in tutte le attività finalizzate all’acquisizione, elaborazione ed illustrazione dei dati e delle informazioni necessarie per consentire di prevenire ad un fondato giudizio sulla situazione patrimoniale, economica e finanziaria </w:t>
      </w:r>
      <w:r>
        <w:rPr>
          <w:rFonts w:ascii="Verdana" w:hAnsi="Verdana"/>
          <w:bCs/>
          <w:sz w:val="22"/>
          <w:szCs w:val="22"/>
        </w:rPr>
        <w:lastRenderedPageBreak/>
        <w:t>dell’Ente;</w:t>
      </w:r>
    </w:p>
    <w:p w:rsidR="005A23AF" w:rsidRDefault="005A23AF"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4) garantire il rispetto dei principi di integrità, correttezza e trasparenza così da consentire ai destinatari di pervenire ad un fondato ed informato giudizio sulla situazione patrimoniale, economica e finanziaria dell’Ente e sull’evoluzione della sua attività;</w:t>
      </w:r>
    </w:p>
    <w:p w:rsidR="005A23AF" w:rsidRDefault="005A23AF"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5) astenersi dal compiere qualsivoglia operazione o iniziativa qualora vi sia una situazione di conflitto di interessi, ovvero qualora sussista, anche per conto di terzi</w:t>
      </w:r>
      <w:r w:rsidR="00AB3BF2">
        <w:rPr>
          <w:rFonts w:ascii="Verdana" w:hAnsi="Verdana"/>
          <w:bCs/>
          <w:sz w:val="22"/>
          <w:szCs w:val="22"/>
        </w:rPr>
        <w:t>, un interesse in conflitto con quello dell’Ente;</w:t>
      </w:r>
    </w:p>
    <w:p w:rsidR="00AB3BF2" w:rsidRDefault="00AB3BF2"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6) garantire e agevolare ogni forma di controllo interno sulla gestione dell’Ente prevista dalla legge;</w:t>
      </w:r>
    </w:p>
    <w:p w:rsidR="00AB3BF2" w:rsidRDefault="00AB3BF2" w:rsidP="00AB3BF2">
      <w:pPr>
        <w:autoSpaceDE w:val="0"/>
        <w:autoSpaceDN w:val="0"/>
        <w:adjustRightInd w:val="0"/>
        <w:spacing w:line="360" w:lineRule="auto"/>
        <w:jc w:val="both"/>
        <w:rPr>
          <w:rFonts w:ascii="Verdana" w:hAnsi="Verdana"/>
          <w:bCs/>
          <w:sz w:val="22"/>
          <w:szCs w:val="22"/>
        </w:rPr>
      </w:pPr>
      <w:r>
        <w:rPr>
          <w:rFonts w:ascii="Verdana" w:hAnsi="Verdana"/>
          <w:bCs/>
          <w:sz w:val="22"/>
          <w:szCs w:val="22"/>
        </w:rPr>
        <w:t xml:space="preserve">7) effettuare </w:t>
      </w:r>
      <w:r w:rsidRPr="005259D4">
        <w:rPr>
          <w:rFonts w:ascii="Verdana" w:hAnsi="Verdana"/>
          <w:bCs/>
          <w:sz w:val="22"/>
          <w:szCs w:val="22"/>
        </w:rPr>
        <w:t>con tempestività, correttezza e completezza tutte le comunicazioni previste dalla legge e dai regolament</w:t>
      </w:r>
      <w:r>
        <w:rPr>
          <w:rFonts w:ascii="Verdana" w:hAnsi="Verdana"/>
          <w:bCs/>
          <w:sz w:val="22"/>
          <w:szCs w:val="22"/>
        </w:rPr>
        <w:t>i nei confronti delle Autorità P</w:t>
      </w:r>
      <w:r w:rsidRPr="005259D4">
        <w:rPr>
          <w:rFonts w:ascii="Verdana" w:hAnsi="Verdana"/>
          <w:bCs/>
          <w:sz w:val="22"/>
          <w:szCs w:val="22"/>
        </w:rPr>
        <w:t>ubbliche di Vigilanza, non frapponendo alcun ostacolo all’esercizio delle funzioni da queste esercitate</w:t>
      </w:r>
      <w:r w:rsidRPr="00037701">
        <w:rPr>
          <w:rFonts w:ascii="Verdana" w:hAnsi="Verdana"/>
          <w:bCs/>
          <w:sz w:val="22"/>
          <w:szCs w:val="22"/>
        </w:rPr>
        <w:t>;</w:t>
      </w:r>
    </w:p>
    <w:p w:rsidR="00037701" w:rsidRDefault="00DF5553"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8</w:t>
      </w:r>
      <w:r w:rsidR="00037701">
        <w:rPr>
          <w:rFonts w:ascii="Verdana" w:hAnsi="Verdana"/>
          <w:bCs/>
          <w:sz w:val="22"/>
          <w:szCs w:val="22"/>
        </w:rPr>
        <w:t xml:space="preserve">) i </w:t>
      </w:r>
      <w:r w:rsidR="00037701" w:rsidRPr="00037701">
        <w:rPr>
          <w:rFonts w:ascii="Verdana" w:hAnsi="Verdana"/>
          <w:bCs/>
          <w:sz w:val="22"/>
          <w:szCs w:val="22"/>
        </w:rPr>
        <w:t>soggetti che intervengono nel procedimento di stima delle poste contabili devono attenersi al rispetto del principio di ragionevolezza ed esporre con chiarezza i parametri di valutazione seguiti, fornendo ogni informazione complementare che sia necessaria a garantire la veridicità del documento. Il bilancio deve inoltre essere completo sotto il profilo dell’informazione societaria e deve contenere tutti gli elementi richiesti dalla legge. Analoga correttezza è richiesta nella redazione di tutte le altre comunicazioni imposte o comunque previste dalla legge, affinché le stesse contengano informazioni chiare, precise, veritiere e complete;</w:t>
      </w:r>
    </w:p>
    <w:p w:rsidR="00037701" w:rsidRDefault="00DF5553" w:rsidP="002170C4">
      <w:pPr>
        <w:autoSpaceDE w:val="0"/>
        <w:autoSpaceDN w:val="0"/>
        <w:adjustRightInd w:val="0"/>
        <w:spacing w:line="360" w:lineRule="auto"/>
        <w:jc w:val="both"/>
        <w:rPr>
          <w:rFonts w:ascii="Verdana" w:hAnsi="Verdana"/>
          <w:bCs/>
          <w:sz w:val="22"/>
          <w:szCs w:val="22"/>
        </w:rPr>
      </w:pPr>
      <w:r>
        <w:rPr>
          <w:rFonts w:ascii="Verdana" w:hAnsi="Verdana"/>
          <w:bCs/>
          <w:sz w:val="22"/>
          <w:szCs w:val="22"/>
        </w:rPr>
        <w:t>9</w:t>
      </w:r>
      <w:r w:rsidR="00037701" w:rsidRPr="00DF5553">
        <w:rPr>
          <w:rFonts w:ascii="Verdana" w:hAnsi="Verdana"/>
          <w:bCs/>
          <w:sz w:val="22"/>
          <w:szCs w:val="22"/>
        </w:rPr>
        <w:t xml:space="preserve">) osservanza rigorosa di tutte le norme poste dalla legge a tutela dell’integrità ed </w:t>
      </w:r>
      <w:r w:rsidR="00AB3BF2" w:rsidRPr="00DF5553">
        <w:rPr>
          <w:rFonts w:ascii="Verdana" w:hAnsi="Verdana"/>
          <w:bCs/>
          <w:sz w:val="22"/>
          <w:szCs w:val="22"/>
        </w:rPr>
        <w:t>effettività del patrimonio</w:t>
      </w:r>
      <w:r w:rsidR="00037701" w:rsidRPr="00DF5553">
        <w:rPr>
          <w:rFonts w:ascii="Verdana" w:hAnsi="Verdana"/>
          <w:bCs/>
          <w:sz w:val="22"/>
          <w:szCs w:val="22"/>
        </w:rPr>
        <w:t xml:space="preserve">, al fine di non ledere le garanzie dei </w:t>
      </w:r>
      <w:r w:rsidR="000100CA">
        <w:rPr>
          <w:rFonts w:ascii="Verdana" w:hAnsi="Verdana"/>
          <w:bCs/>
          <w:sz w:val="22"/>
          <w:szCs w:val="22"/>
        </w:rPr>
        <w:t>creditori e dei terzi in genere.</w:t>
      </w:r>
    </w:p>
    <w:p w:rsidR="00DB4E9F" w:rsidRDefault="00DB4E9F" w:rsidP="002170C4">
      <w:pPr>
        <w:autoSpaceDE w:val="0"/>
        <w:autoSpaceDN w:val="0"/>
        <w:adjustRightInd w:val="0"/>
        <w:spacing w:line="360" w:lineRule="auto"/>
        <w:jc w:val="both"/>
        <w:rPr>
          <w:rFonts w:ascii="Verdana" w:hAnsi="Verdana"/>
          <w:b/>
          <w:bCs/>
          <w:sz w:val="22"/>
          <w:szCs w:val="22"/>
        </w:rPr>
      </w:pPr>
    </w:p>
    <w:p w:rsidR="00DB4E9F" w:rsidRDefault="00DB4E9F" w:rsidP="002170C4">
      <w:pPr>
        <w:autoSpaceDE w:val="0"/>
        <w:autoSpaceDN w:val="0"/>
        <w:adjustRightInd w:val="0"/>
        <w:spacing w:line="360" w:lineRule="auto"/>
        <w:jc w:val="both"/>
        <w:rPr>
          <w:rFonts w:ascii="Verdana" w:hAnsi="Verdana"/>
          <w:b/>
          <w:bCs/>
          <w:sz w:val="22"/>
          <w:szCs w:val="22"/>
        </w:rPr>
      </w:pPr>
    </w:p>
    <w:p w:rsidR="00EC0ED1" w:rsidRDefault="00BA0EE2" w:rsidP="002170C4">
      <w:pPr>
        <w:pStyle w:val="Heading1"/>
        <w:spacing w:before="0" w:after="0" w:line="360" w:lineRule="auto"/>
        <w:rPr>
          <w:rFonts w:ascii="Verdana" w:hAnsi="Verdana"/>
        </w:rPr>
      </w:pPr>
      <w:bookmarkStart w:id="5" w:name="_Toc421885310"/>
      <w:r>
        <w:rPr>
          <w:rFonts w:ascii="Verdana" w:hAnsi="Verdana"/>
        </w:rPr>
        <w:t>5</w:t>
      </w:r>
      <w:r w:rsidR="009A47CE">
        <w:rPr>
          <w:rFonts w:ascii="Verdana" w:hAnsi="Verdana"/>
        </w:rPr>
        <w:t xml:space="preserve">. </w:t>
      </w:r>
      <w:r w:rsidR="00EC0ED1">
        <w:rPr>
          <w:rFonts w:ascii="Verdana" w:hAnsi="Verdana"/>
        </w:rPr>
        <w:t>Il responsabile interno</w:t>
      </w:r>
      <w:bookmarkEnd w:id="5"/>
      <w:r w:rsidR="00EC0ED1">
        <w:rPr>
          <w:rFonts w:ascii="Verdana" w:hAnsi="Verdana"/>
        </w:rPr>
        <w:t xml:space="preserve"> </w:t>
      </w:r>
    </w:p>
    <w:p w:rsidR="00EC0ED1" w:rsidRDefault="00EC0ED1" w:rsidP="002170C4">
      <w:pPr>
        <w:autoSpaceDE w:val="0"/>
        <w:autoSpaceDN w:val="0"/>
        <w:adjustRightInd w:val="0"/>
        <w:spacing w:line="360" w:lineRule="auto"/>
        <w:jc w:val="both"/>
        <w:rPr>
          <w:rFonts w:ascii="Verdana" w:hAnsi="Verdana"/>
          <w:sz w:val="22"/>
          <w:szCs w:val="22"/>
        </w:rPr>
      </w:pPr>
      <w:r>
        <w:rPr>
          <w:rFonts w:ascii="Verdana" w:hAnsi="Verdana"/>
          <w:sz w:val="22"/>
          <w:szCs w:val="22"/>
        </w:rPr>
        <w:t xml:space="preserve">Occorre dare debita evidenza allo svolgimento delle c.d. “attività sensibili’’. A tal fine, il Governatore o il suo Delegato devono nominare un </w:t>
      </w:r>
      <w:r>
        <w:rPr>
          <w:rFonts w:ascii="Verdana" w:hAnsi="Verdana"/>
          <w:b/>
          <w:sz w:val="22"/>
          <w:szCs w:val="22"/>
        </w:rPr>
        <w:t>“</w:t>
      </w:r>
      <w:r>
        <w:rPr>
          <w:rFonts w:ascii="Verdana" w:hAnsi="Verdana"/>
          <w:b/>
          <w:bCs/>
          <w:sz w:val="22"/>
          <w:szCs w:val="22"/>
        </w:rPr>
        <w:t xml:space="preserve">responsabile interno” </w:t>
      </w:r>
      <w:r w:rsidR="00F77E1C">
        <w:rPr>
          <w:rFonts w:ascii="Verdana" w:hAnsi="Verdana"/>
          <w:sz w:val="22"/>
          <w:szCs w:val="22"/>
        </w:rPr>
        <w:t>per ciascuna “</w:t>
      </w:r>
      <w:r>
        <w:rPr>
          <w:rFonts w:ascii="Verdana" w:hAnsi="Verdana"/>
          <w:sz w:val="22"/>
          <w:szCs w:val="22"/>
        </w:rPr>
        <w:t>area di</w:t>
      </w:r>
      <w:r w:rsidR="00F77E1C">
        <w:rPr>
          <w:rFonts w:ascii="Verdana" w:hAnsi="Verdana"/>
          <w:sz w:val="22"/>
          <w:szCs w:val="22"/>
        </w:rPr>
        <w:t xml:space="preserve"> rischio”</w:t>
      </w:r>
      <w:r>
        <w:rPr>
          <w:rFonts w:ascii="Verdana" w:hAnsi="Verdana"/>
          <w:sz w:val="22"/>
          <w:szCs w:val="22"/>
        </w:rPr>
        <w:t>; questi è, in generale, il soggetto che gestisce tale operazione e ne costituisce il referente.</w:t>
      </w:r>
    </w:p>
    <w:p w:rsidR="00EC0ED1" w:rsidRDefault="00EC0ED1" w:rsidP="002170C4">
      <w:pPr>
        <w:autoSpaceDE w:val="0"/>
        <w:autoSpaceDN w:val="0"/>
        <w:adjustRightInd w:val="0"/>
        <w:spacing w:line="360" w:lineRule="auto"/>
        <w:jc w:val="both"/>
        <w:rPr>
          <w:rFonts w:ascii="Verdana" w:hAnsi="Verdana"/>
          <w:sz w:val="22"/>
          <w:szCs w:val="22"/>
        </w:rPr>
      </w:pPr>
      <w:r>
        <w:rPr>
          <w:rFonts w:ascii="Verdana" w:hAnsi="Verdana"/>
          <w:sz w:val="22"/>
          <w:szCs w:val="22"/>
        </w:rPr>
        <w:t>Il “responsabile interno” deve segnalare lo svolgimento delle attività sensibili, e trasmettere all’ODV un rapporto sulle stesse.</w:t>
      </w:r>
    </w:p>
    <w:p w:rsidR="00EC0ED1" w:rsidRDefault="00EC0ED1" w:rsidP="002170C4">
      <w:pPr>
        <w:autoSpaceDE w:val="0"/>
        <w:autoSpaceDN w:val="0"/>
        <w:adjustRightInd w:val="0"/>
        <w:spacing w:line="360" w:lineRule="auto"/>
        <w:jc w:val="both"/>
        <w:rPr>
          <w:rFonts w:ascii="Verdana" w:hAnsi="Verdana"/>
          <w:b/>
          <w:bCs/>
          <w:sz w:val="22"/>
          <w:szCs w:val="22"/>
        </w:rPr>
      </w:pPr>
    </w:p>
    <w:p w:rsidR="00EC0ED1" w:rsidRDefault="00EC0ED1" w:rsidP="002170C4">
      <w:pPr>
        <w:autoSpaceDE w:val="0"/>
        <w:autoSpaceDN w:val="0"/>
        <w:adjustRightInd w:val="0"/>
        <w:spacing w:line="360" w:lineRule="auto"/>
        <w:jc w:val="both"/>
        <w:rPr>
          <w:rFonts w:ascii="Verdana" w:hAnsi="Verdana"/>
          <w:b/>
          <w:bCs/>
          <w:sz w:val="22"/>
          <w:szCs w:val="22"/>
          <w:highlight w:val="yellow"/>
        </w:rPr>
      </w:pPr>
    </w:p>
    <w:p w:rsidR="00EC0ED1" w:rsidRDefault="00BA0EE2" w:rsidP="002170C4">
      <w:pPr>
        <w:pStyle w:val="Heading1"/>
        <w:spacing w:before="0" w:after="0" w:line="360" w:lineRule="auto"/>
        <w:rPr>
          <w:rFonts w:ascii="Verdana" w:hAnsi="Verdana"/>
        </w:rPr>
      </w:pPr>
      <w:bookmarkStart w:id="6" w:name="_Toc421885311"/>
      <w:r>
        <w:rPr>
          <w:rFonts w:ascii="Verdana" w:hAnsi="Verdana"/>
        </w:rPr>
        <w:t>6</w:t>
      </w:r>
      <w:r w:rsidR="009A47CE">
        <w:rPr>
          <w:rFonts w:ascii="Verdana" w:hAnsi="Verdana"/>
        </w:rPr>
        <w:t xml:space="preserve">. </w:t>
      </w:r>
      <w:r w:rsidR="00EC0ED1">
        <w:rPr>
          <w:rFonts w:ascii="Verdana" w:hAnsi="Verdana"/>
        </w:rPr>
        <w:t>I controlli dell’Organismo di Vigilanza</w:t>
      </w:r>
      <w:bookmarkEnd w:id="6"/>
    </w:p>
    <w:p w:rsidR="00EC0ED1" w:rsidRDefault="00EC0ED1" w:rsidP="002170C4">
      <w:pPr>
        <w:spacing w:line="360" w:lineRule="auto"/>
        <w:rPr>
          <w:rFonts w:ascii="Verdana" w:hAnsi="Verdana"/>
          <w:sz w:val="22"/>
          <w:szCs w:val="22"/>
        </w:rPr>
      </w:pPr>
    </w:p>
    <w:p w:rsidR="00B0129C" w:rsidRPr="00B0129C" w:rsidRDefault="00B0129C" w:rsidP="00B0129C">
      <w:pPr>
        <w:spacing w:line="360" w:lineRule="auto"/>
        <w:jc w:val="center"/>
        <w:rPr>
          <w:rFonts w:ascii="Verdana" w:hAnsi="Verdana"/>
          <w:b/>
          <w:iCs/>
          <w:sz w:val="22"/>
          <w:szCs w:val="22"/>
        </w:rPr>
      </w:pPr>
      <w:r w:rsidRPr="00B0129C">
        <w:rPr>
          <w:rFonts w:ascii="Verdana" w:hAnsi="Verdana"/>
          <w:b/>
          <w:iCs/>
          <w:sz w:val="22"/>
          <w:szCs w:val="22"/>
        </w:rPr>
        <w:t>OMISSIS</w:t>
      </w:r>
    </w:p>
    <w:p w:rsidR="00B0129C" w:rsidRDefault="00B0129C" w:rsidP="002170C4">
      <w:pPr>
        <w:spacing w:line="360" w:lineRule="auto"/>
        <w:rPr>
          <w:rFonts w:ascii="Verdana" w:hAnsi="Verdana"/>
        </w:rPr>
      </w:pPr>
    </w:p>
    <w:sectPr w:rsidR="00B0129C" w:rsidSect="00FC106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E6" w:rsidRDefault="005B00E6">
      <w:r>
        <w:separator/>
      </w:r>
    </w:p>
  </w:endnote>
  <w:endnote w:type="continuationSeparator" w:id="0">
    <w:p w:rsidR="005B00E6" w:rsidRDefault="005B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AF" w:rsidRDefault="005A2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3AF" w:rsidRDefault="005A2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839994"/>
      <w:docPartObj>
        <w:docPartGallery w:val="Page Numbers (Bottom of Page)"/>
        <w:docPartUnique/>
      </w:docPartObj>
    </w:sdtPr>
    <w:sdtEndPr/>
    <w:sdtContent>
      <w:p w:rsidR="00FC1060" w:rsidRDefault="00FC1060">
        <w:pPr>
          <w:pStyle w:val="Footer"/>
          <w:jc w:val="center"/>
        </w:pPr>
        <w:r>
          <w:fldChar w:fldCharType="begin"/>
        </w:r>
        <w:r>
          <w:instrText>PAGE   \* MERGEFORMAT</w:instrText>
        </w:r>
        <w:r>
          <w:fldChar w:fldCharType="separate"/>
        </w:r>
        <w:r w:rsidR="00B0129C">
          <w:rPr>
            <w:noProof/>
          </w:rPr>
          <w:t>1</w:t>
        </w:r>
        <w:r>
          <w:fldChar w:fldCharType="end"/>
        </w:r>
      </w:p>
    </w:sdtContent>
  </w:sdt>
  <w:p w:rsidR="005A23AF" w:rsidRDefault="005A23AF" w:rsidP="00FC1060">
    <w:pPr>
      <w:pStyle w:val="Footer"/>
      <w:jc w:val="center"/>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60" w:rsidRDefault="00FC1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E6" w:rsidRDefault="005B00E6">
      <w:r>
        <w:separator/>
      </w:r>
    </w:p>
  </w:footnote>
  <w:footnote w:type="continuationSeparator" w:id="0">
    <w:p w:rsidR="005B00E6" w:rsidRDefault="005B00E6">
      <w:r>
        <w:continuationSeparator/>
      </w:r>
    </w:p>
  </w:footnote>
  <w:footnote w:id="1">
    <w:p w:rsidR="00AA185B" w:rsidRDefault="00AA185B" w:rsidP="00AA185B">
      <w:pPr>
        <w:pStyle w:val="FootnoteText"/>
      </w:pPr>
      <w:r>
        <w:rPr>
          <w:rStyle w:val="FootnoteReference"/>
        </w:rPr>
        <w:footnoteRef/>
      </w:r>
      <w:r>
        <w:t xml:space="preserve"> Si tratta di beni, servizi e consulenze che esulano </w:t>
      </w:r>
      <w:r w:rsidR="00C90ECF">
        <w:t>dal</w:t>
      </w:r>
      <w:r>
        <w:t>l’ambito sanitario.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60" w:rsidRDefault="00FC1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60" w:rsidRDefault="00FC1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60" w:rsidRDefault="00FC1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7B6"/>
    <w:multiLevelType w:val="hybridMultilevel"/>
    <w:tmpl w:val="9A9489AE"/>
    <w:lvl w:ilvl="0" w:tplc="1CEE5B7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1803E3C"/>
    <w:multiLevelType w:val="hybridMultilevel"/>
    <w:tmpl w:val="89248CC0"/>
    <w:lvl w:ilvl="0" w:tplc="0410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2F7A6A"/>
    <w:multiLevelType w:val="hybridMultilevel"/>
    <w:tmpl w:val="1AE87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966320"/>
    <w:multiLevelType w:val="hybridMultilevel"/>
    <w:tmpl w:val="325AF19C"/>
    <w:lvl w:ilvl="0" w:tplc="255C9B4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4B41CEE"/>
    <w:multiLevelType w:val="hybridMultilevel"/>
    <w:tmpl w:val="D9261FCE"/>
    <w:lvl w:ilvl="0" w:tplc="98B25D3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3F45D7"/>
    <w:multiLevelType w:val="hybridMultilevel"/>
    <w:tmpl w:val="4C0E3960"/>
    <w:lvl w:ilvl="0" w:tplc="04100001">
      <w:start w:val="1"/>
      <w:numFmt w:val="bullet"/>
      <w:lvlText w:val=""/>
      <w:lvlJc w:val="left"/>
      <w:pPr>
        <w:tabs>
          <w:tab w:val="num" w:pos="360"/>
        </w:tabs>
        <w:ind w:left="360" w:hanging="360"/>
      </w:pPr>
      <w:rPr>
        <w:rFonts w:ascii="Symbol" w:hAnsi="Symbol" w:hint="default"/>
      </w:rPr>
    </w:lvl>
    <w:lvl w:ilvl="1" w:tplc="5FD60CA2">
      <w:start w:val="2"/>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06C4498A"/>
    <w:multiLevelType w:val="hybridMultilevel"/>
    <w:tmpl w:val="C9FEABA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76026F3"/>
    <w:multiLevelType w:val="hybridMultilevel"/>
    <w:tmpl w:val="6E5653D4"/>
    <w:lvl w:ilvl="0" w:tplc="98B25D32">
      <w:start w:val="1"/>
      <w:numFmt w:val="bullet"/>
      <w:lvlText w:val="-"/>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1353A2"/>
    <w:multiLevelType w:val="hybridMultilevel"/>
    <w:tmpl w:val="5EAC7F74"/>
    <w:lvl w:ilvl="0" w:tplc="5FD60CA2">
      <w:start w:val="2"/>
      <w:numFmt w:val="bullet"/>
      <w:lvlText w:val="-"/>
      <w:lvlJc w:val="left"/>
      <w:pPr>
        <w:tabs>
          <w:tab w:val="num" w:pos="1660"/>
        </w:tabs>
        <w:ind w:left="1660" w:hanging="360"/>
      </w:pPr>
      <w:rPr>
        <w:rFonts w:ascii="Times New Roman" w:eastAsia="Times New Roman" w:hAnsi="Times New Roman" w:cs="Times New Roman" w:hint="default"/>
      </w:rPr>
    </w:lvl>
    <w:lvl w:ilvl="1" w:tplc="04100003" w:tentative="1">
      <w:start w:val="1"/>
      <w:numFmt w:val="bullet"/>
      <w:lvlText w:val="o"/>
      <w:lvlJc w:val="left"/>
      <w:pPr>
        <w:tabs>
          <w:tab w:val="num" w:pos="1608"/>
        </w:tabs>
        <w:ind w:left="1608" w:hanging="360"/>
      </w:pPr>
      <w:rPr>
        <w:rFonts w:ascii="Courier New" w:hAnsi="Courier New" w:cs="Courier New" w:hint="default"/>
      </w:rPr>
    </w:lvl>
    <w:lvl w:ilvl="2" w:tplc="04100005" w:tentative="1">
      <w:start w:val="1"/>
      <w:numFmt w:val="bullet"/>
      <w:lvlText w:val=""/>
      <w:lvlJc w:val="left"/>
      <w:pPr>
        <w:tabs>
          <w:tab w:val="num" w:pos="2328"/>
        </w:tabs>
        <w:ind w:left="2328" w:hanging="360"/>
      </w:pPr>
      <w:rPr>
        <w:rFonts w:ascii="Wingdings" w:hAnsi="Wingdings" w:hint="default"/>
      </w:rPr>
    </w:lvl>
    <w:lvl w:ilvl="3" w:tplc="04100001" w:tentative="1">
      <w:start w:val="1"/>
      <w:numFmt w:val="bullet"/>
      <w:lvlText w:val=""/>
      <w:lvlJc w:val="left"/>
      <w:pPr>
        <w:tabs>
          <w:tab w:val="num" w:pos="3048"/>
        </w:tabs>
        <w:ind w:left="3048" w:hanging="360"/>
      </w:pPr>
      <w:rPr>
        <w:rFonts w:ascii="Symbol" w:hAnsi="Symbol" w:hint="default"/>
      </w:rPr>
    </w:lvl>
    <w:lvl w:ilvl="4" w:tplc="04100003" w:tentative="1">
      <w:start w:val="1"/>
      <w:numFmt w:val="bullet"/>
      <w:lvlText w:val="o"/>
      <w:lvlJc w:val="left"/>
      <w:pPr>
        <w:tabs>
          <w:tab w:val="num" w:pos="3768"/>
        </w:tabs>
        <w:ind w:left="3768" w:hanging="360"/>
      </w:pPr>
      <w:rPr>
        <w:rFonts w:ascii="Courier New" w:hAnsi="Courier New" w:cs="Courier New" w:hint="default"/>
      </w:rPr>
    </w:lvl>
    <w:lvl w:ilvl="5" w:tplc="04100005" w:tentative="1">
      <w:start w:val="1"/>
      <w:numFmt w:val="bullet"/>
      <w:lvlText w:val=""/>
      <w:lvlJc w:val="left"/>
      <w:pPr>
        <w:tabs>
          <w:tab w:val="num" w:pos="4488"/>
        </w:tabs>
        <w:ind w:left="4488" w:hanging="360"/>
      </w:pPr>
      <w:rPr>
        <w:rFonts w:ascii="Wingdings" w:hAnsi="Wingdings" w:hint="default"/>
      </w:rPr>
    </w:lvl>
    <w:lvl w:ilvl="6" w:tplc="04100001" w:tentative="1">
      <w:start w:val="1"/>
      <w:numFmt w:val="bullet"/>
      <w:lvlText w:val=""/>
      <w:lvlJc w:val="left"/>
      <w:pPr>
        <w:tabs>
          <w:tab w:val="num" w:pos="5208"/>
        </w:tabs>
        <w:ind w:left="5208" w:hanging="360"/>
      </w:pPr>
      <w:rPr>
        <w:rFonts w:ascii="Symbol" w:hAnsi="Symbol" w:hint="default"/>
      </w:rPr>
    </w:lvl>
    <w:lvl w:ilvl="7" w:tplc="04100003" w:tentative="1">
      <w:start w:val="1"/>
      <w:numFmt w:val="bullet"/>
      <w:lvlText w:val="o"/>
      <w:lvlJc w:val="left"/>
      <w:pPr>
        <w:tabs>
          <w:tab w:val="num" w:pos="5928"/>
        </w:tabs>
        <w:ind w:left="5928" w:hanging="360"/>
      </w:pPr>
      <w:rPr>
        <w:rFonts w:ascii="Courier New" w:hAnsi="Courier New" w:cs="Courier New" w:hint="default"/>
      </w:rPr>
    </w:lvl>
    <w:lvl w:ilvl="8" w:tplc="04100005" w:tentative="1">
      <w:start w:val="1"/>
      <w:numFmt w:val="bullet"/>
      <w:lvlText w:val=""/>
      <w:lvlJc w:val="left"/>
      <w:pPr>
        <w:tabs>
          <w:tab w:val="num" w:pos="6648"/>
        </w:tabs>
        <w:ind w:left="6648" w:hanging="360"/>
      </w:pPr>
      <w:rPr>
        <w:rFonts w:ascii="Wingdings" w:hAnsi="Wingdings" w:hint="default"/>
      </w:rPr>
    </w:lvl>
  </w:abstractNum>
  <w:abstractNum w:abstractNumId="9">
    <w:nsid w:val="0AB74234"/>
    <w:multiLevelType w:val="hybridMultilevel"/>
    <w:tmpl w:val="F5401AF0"/>
    <w:lvl w:ilvl="0" w:tplc="98B25D32">
      <w:start w:val="1"/>
      <w:numFmt w:val="bullet"/>
      <w:lvlText w:val="-"/>
      <w:lvlJc w:val="left"/>
      <w:pPr>
        <w:tabs>
          <w:tab w:val="num" w:pos="360"/>
        </w:tabs>
        <w:ind w:left="360" w:hanging="360"/>
      </w:pPr>
      <w:rPr>
        <w:rFonts w:ascii="Arial" w:hAnsi="Arial" w:hint="default"/>
      </w:rPr>
    </w:lvl>
    <w:lvl w:ilvl="1" w:tplc="5FD60CA2">
      <w:start w:val="2"/>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0BD05475"/>
    <w:multiLevelType w:val="hybridMultilevel"/>
    <w:tmpl w:val="F4701A72"/>
    <w:lvl w:ilvl="0" w:tplc="F5B0F754">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C9E3145"/>
    <w:multiLevelType w:val="hybridMultilevel"/>
    <w:tmpl w:val="59B85220"/>
    <w:lvl w:ilvl="0" w:tplc="0410001B">
      <w:start w:val="1"/>
      <w:numFmt w:val="lowerRoman"/>
      <w:lvlText w:val="%1."/>
      <w:lvlJc w:val="right"/>
      <w:pPr>
        <w:ind w:left="51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EC30E4A"/>
    <w:multiLevelType w:val="hybridMultilevel"/>
    <w:tmpl w:val="A2F642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F1B2BB8"/>
    <w:multiLevelType w:val="hybridMultilevel"/>
    <w:tmpl w:val="5CE2A572"/>
    <w:lvl w:ilvl="0" w:tplc="1CEE5B7A">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0315612"/>
    <w:multiLevelType w:val="hybridMultilevel"/>
    <w:tmpl w:val="B2F8690E"/>
    <w:lvl w:ilvl="0" w:tplc="04100001">
      <w:start w:val="1"/>
      <w:numFmt w:val="bullet"/>
      <w:lvlText w:val=""/>
      <w:lvlJc w:val="left"/>
      <w:pPr>
        <w:tabs>
          <w:tab w:val="num" w:pos="360"/>
        </w:tabs>
        <w:ind w:left="360" w:hanging="360"/>
      </w:pPr>
      <w:rPr>
        <w:rFonts w:ascii="Symbol" w:hAnsi="Symbol" w:hint="default"/>
      </w:rPr>
    </w:lvl>
    <w:lvl w:ilvl="1" w:tplc="5FD60CA2">
      <w:start w:val="2"/>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10316DE1"/>
    <w:multiLevelType w:val="hybridMultilevel"/>
    <w:tmpl w:val="34B8F43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11C60C2D"/>
    <w:multiLevelType w:val="hybridMultilevel"/>
    <w:tmpl w:val="8EB4F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7361D60"/>
    <w:multiLevelType w:val="hybridMultilevel"/>
    <w:tmpl w:val="69A078A4"/>
    <w:lvl w:ilvl="0" w:tplc="0410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257997"/>
    <w:multiLevelType w:val="hybridMultilevel"/>
    <w:tmpl w:val="EC24A58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198405D8"/>
    <w:multiLevelType w:val="hybridMultilevel"/>
    <w:tmpl w:val="A04622D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1A2E01EB"/>
    <w:multiLevelType w:val="hybridMultilevel"/>
    <w:tmpl w:val="04242432"/>
    <w:lvl w:ilvl="0" w:tplc="C7EEACAC">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1A77703D"/>
    <w:multiLevelType w:val="hybridMultilevel"/>
    <w:tmpl w:val="3A183260"/>
    <w:lvl w:ilvl="0" w:tplc="04100001">
      <w:start w:val="1"/>
      <w:numFmt w:val="bullet"/>
      <w:lvlText w:val=""/>
      <w:lvlJc w:val="left"/>
      <w:pPr>
        <w:tabs>
          <w:tab w:val="num" w:pos="360"/>
        </w:tabs>
        <w:ind w:left="360" w:hanging="360"/>
      </w:pPr>
      <w:rPr>
        <w:rFonts w:ascii="Symbol" w:hAnsi="Symbol" w:hint="default"/>
      </w:rPr>
    </w:lvl>
    <w:lvl w:ilvl="1" w:tplc="5FD60CA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5D2640"/>
    <w:multiLevelType w:val="hybridMultilevel"/>
    <w:tmpl w:val="35904B0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1E5131AC"/>
    <w:multiLevelType w:val="hybridMultilevel"/>
    <w:tmpl w:val="A00433CA"/>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1F471A54"/>
    <w:multiLevelType w:val="hybridMultilevel"/>
    <w:tmpl w:val="5E9040BE"/>
    <w:lvl w:ilvl="0" w:tplc="0410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F483C22"/>
    <w:multiLevelType w:val="hybridMultilevel"/>
    <w:tmpl w:val="5F5E2696"/>
    <w:lvl w:ilvl="0" w:tplc="5FD60CA2">
      <w:start w:val="2"/>
      <w:numFmt w:val="bullet"/>
      <w:lvlText w:val="-"/>
      <w:lvlJc w:val="left"/>
      <w:pPr>
        <w:tabs>
          <w:tab w:val="num" w:pos="1852"/>
        </w:tabs>
        <w:ind w:left="1852"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2048231C"/>
    <w:multiLevelType w:val="hybridMultilevel"/>
    <w:tmpl w:val="41527072"/>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20AB70DC"/>
    <w:multiLevelType w:val="hybridMultilevel"/>
    <w:tmpl w:val="DB8E6000"/>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22FF505C"/>
    <w:multiLevelType w:val="hybridMultilevel"/>
    <w:tmpl w:val="355450C8"/>
    <w:lvl w:ilvl="0" w:tplc="C7EEACAC">
      <w:start w:val="1"/>
      <w:numFmt w:val="lowerLetter"/>
      <w:lvlText w:val="%1)"/>
      <w:lvlJc w:val="left"/>
      <w:pPr>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807274"/>
    <w:multiLevelType w:val="hybridMultilevel"/>
    <w:tmpl w:val="DD6E7A0C"/>
    <w:lvl w:ilvl="0" w:tplc="50067D00">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42067E"/>
    <w:multiLevelType w:val="hybridMultilevel"/>
    <w:tmpl w:val="67F2284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5D87DB9"/>
    <w:multiLevelType w:val="hybridMultilevel"/>
    <w:tmpl w:val="DE56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DE6856"/>
    <w:multiLevelType w:val="hybridMultilevel"/>
    <w:tmpl w:val="E9249CE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266521B6"/>
    <w:multiLevelType w:val="hybridMultilevel"/>
    <w:tmpl w:val="BDEA2EC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27E6558A"/>
    <w:multiLevelType w:val="hybridMultilevel"/>
    <w:tmpl w:val="CEFA03E8"/>
    <w:lvl w:ilvl="0" w:tplc="0410000F">
      <w:start w:val="1"/>
      <w:numFmt w:val="decimal"/>
      <w:lvlText w:val="%1."/>
      <w:lvlJc w:val="left"/>
      <w:pPr>
        <w:tabs>
          <w:tab w:val="num" w:pos="360"/>
        </w:tabs>
        <w:ind w:left="360" w:hanging="360"/>
      </w:pPr>
      <w:rPr>
        <w:rFonts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288646A6"/>
    <w:multiLevelType w:val="hybridMultilevel"/>
    <w:tmpl w:val="E13E9B8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2D083CF9"/>
    <w:multiLevelType w:val="hybridMultilevel"/>
    <w:tmpl w:val="5CBCF346"/>
    <w:lvl w:ilvl="0" w:tplc="0410001B">
      <w:start w:val="1"/>
      <w:numFmt w:val="lowerRoman"/>
      <w:lvlText w:val="%1."/>
      <w:lvlJc w:val="right"/>
      <w:pPr>
        <w:ind w:left="51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EED07D2"/>
    <w:multiLevelType w:val="hybridMultilevel"/>
    <w:tmpl w:val="68307916"/>
    <w:lvl w:ilvl="0" w:tplc="04090005">
      <w:start w:val="1"/>
      <w:numFmt w:val="bullet"/>
      <w:lvlText w:val=""/>
      <w:lvlJc w:val="left"/>
      <w:pPr>
        <w:tabs>
          <w:tab w:val="num" w:pos="360"/>
        </w:tabs>
        <w:ind w:left="360" w:hanging="360"/>
      </w:pPr>
      <w:rPr>
        <w:rFonts w:ascii="Wingdings" w:hAnsi="Wingdings" w:hint="default"/>
      </w:rPr>
    </w:lvl>
    <w:lvl w:ilvl="1" w:tplc="C4B85114">
      <w:start w:val="1"/>
      <w:numFmt w:val="decimal"/>
      <w:lvlText w:val="%2."/>
      <w:lvlJc w:val="left"/>
      <w:pPr>
        <w:tabs>
          <w:tab w:val="num" w:pos="1110"/>
        </w:tabs>
        <w:ind w:left="1110" w:hanging="39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2F592845"/>
    <w:multiLevelType w:val="hybridMultilevel"/>
    <w:tmpl w:val="31341C6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2FC60517"/>
    <w:multiLevelType w:val="hybridMultilevel"/>
    <w:tmpl w:val="865CFE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32727469"/>
    <w:multiLevelType w:val="hybridMultilevel"/>
    <w:tmpl w:val="47D6706A"/>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33A17635"/>
    <w:multiLevelType w:val="hybridMultilevel"/>
    <w:tmpl w:val="241A493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43D4449"/>
    <w:multiLevelType w:val="hybridMultilevel"/>
    <w:tmpl w:val="B5E4954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4DF03D2"/>
    <w:multiLevelType w:val="hybridMultilevel"/>
    <w:tmpl w:val="9850B708"/>
    <w:lvl w:ilvl="0" w:tplc="0410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nsid w:val="34FB50E5"/>
    <w:multiLevelType w:val="hybridMultilevel"/>
    <w:tmpl w:val="687AA286"/>
    <w:lvl w:ilvl="0" w:tplc="0410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89B5CDC"/>
    <w:multiLevelType w:val="hybridMultilevel"/>
    <w:tmpl w:val="504CF8E4"/>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38B3729E"/>
    <w:multiLevelType w:val="hybridMultilevel"/>
    <w:tmpl w:val="DF44E196"/>
    <w:lvl w:ilvl="0" w:tplc="0410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99E10E7"/>
    <w:multiLevelType w:val="hybridMultilevel"/>
    <w:tmpl w:val="D4208C94"/>
    <w:lvl w:ilvl="0" w:tplc="255C9B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3A1160DA"/>
    <w:multiLevelType w:val="hybridMultilevel"/>
    <w:tmpl w:val="C06C85E0"/>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9">
    <w:nsid w:val="3C6F2BF0"/>
    <w:multiLevelType w:val="hybridMultilevel"/>
    <w:tmpl w:val="DADA69C4"/>
    <w:lvl w:ilvl="0" w:tplc="0410001B">
      <w:start w:val="1"/>
      <w:numFmt w:val="lowerRoman"/>
      <w:lvlText w:val="%1."/>
      <w:lvlJc w:val="right"/>
      <w:pPr>
        <w:ind w:left="51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CAC6609"/>
    <w:multiLevelType w:val="hybridMultilevel"/>
    <w:tmpl w:val="E2C40E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E3F31B4"/>
    <w:multiLevelType w:val="hybridMultilevel"/>
    <w:tmpl w:val="26D4E1B4"/>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2">
    <w:nsid w:val="40302866"/>
    <w:multiLevelType w:val="hybridMultilevel"/>
    <w:tmpl w:val="060091D6"/>
    <w:lvl w:ilvl="0" w:tplc="5FD60CA2">
      <w:start w:val="2"/>
      <w:numFmt w:val="bullet"/>
      <w:lvlText w:val="-"/>
      <w:lvlJc w:val="left"/>
      <w:pPr>
        <w:tabs>
          <w:tab w:val="num" w:pos="1660"/>
        </w:tabs>
        <w:ind w:left="1660" w:hanging="360"/>
      </w:pPr>
      <w:rPr>
        <w:rFonts w:ascii="Times New Roman" w:eastAsia="Times New Roman" w:hAnsi="Times New Roman" w:cs="Times New Roman" w:hint="default"/>
      </w:rPr>
    </w:lvl>
    <w:lvl w:ilvl="1" w:tplc="04100003">
      <w:start w:val="1"/>
      <w:numFmt w:val="bullet"/>
      <w:lvlText w:val="o"/>
      <w:lvlJc w:val="left"/>
      <w:pPr>
        <w:tabs>
          <w:tab w:val="num" w:pos="2300"/>
        </w:tabs>
        <w:ind w:left="2300" w:hanging="360"/>
      </w:pPr>
      <w:rPr>
        <w:rFonts w:ascii="Courier New" w:hAnsi="Courier New" w:cs="Courier New" w:hint="default"/>
      </w:rPr>
    </w:lvl>
    <w:lvl w:ilvl="2" w:tplc="04100005" w:tentative="1">
      <w:start w:val="1"/>
      <w:numFmt w:val="bullet"/>
      <w:lvlText w:val=""/>
      <w:lvlJc w:val="left"/>
      <w:pPr>
        <w:tabs>
          <w:tab w:val="num" w:pos="3020"/>
        </w:tabs>
        <w:ind w:left="3020" w:hanging="360"/>
      </w:pPr>
      <w:rPr>
        <w:rFonts w:ascii="Wingdings" w:hAnsi="Wingdings" w:hint="default"/>
      </w:rPr>
    </w:lvl>
    <w:lvl w:ilvl="3" w:tplc="04100001" w:tentative="1">
      <w:start w:val="1"/>
      <w:numFmt w:val="bullet"/>
      <w:lvlText w:val=""/>
      <w:lvlJc w:val="left"/>
      <w:pPr>
        <w:tabs>
          <w:tab w:val="num" w:pos="3740"/>
        </w:tabs>
        <w:ind w:left="3740" w:hanging="360"/>
      </w:pPr>
      <w:rPr>
        <w:rFonts w:ascii="Symbol" w:hAnsi="Symbol" w:hint="default"/>
      </w:rPr>
    </w:lvl>
    <w:lvl w:ilvl="4" w:tplc="04100003" w:tentative="1">
      <w:start w:val="1"/>
      <w:numFmt w:val="bullet"/>
      <w:lvlText w:val="o"/>
      <w:lvlJc w:val="left"/>
      <w:pPr>
        <w:tabs>
          <w:tab w:val="num" w:pos="4460"/>
        </w:tabs>
        <w:ind w:left="4460" w:hanging="360"/>
      </w:pPr>
      <w:rPr>
        <w:rFonts w:ascii="Courier New" w:hAnsi="Courier New" w:cs="Courier New" w:hint="default"/>
      </w:rPr>
    </w:lvl>
    <w:lvl w:ilvl="5" w:tplc="04100005" w:tentative="1">
      <w:start w:val="1"/>
      <w:numFmt w:val="bullet"/>
      <w:lvlText w:val=""/>
      <w:lvlJc w:val="left"/>
      <w:pPr>
        <w:tabs>
          <w:tab w:val="num" w:pos="5180"/>
        </w:tabs>
        <w:ind w:left="5180" w:hanging="360"/>
      </w:pPr>
      <w:rPr>
        <w:rFonts w:ascii="Wingdings" w:hAnsi="Wingdings" w:hint="default"/>
      </w:rPr>
    </w:lvl>
    <w:lvl w:ilvl="6" w:tplc="04100001" w:tentative="1">
      <w:start w:val="1"/>
      <w:numFmt w:val="bullet"/>
      <w:lvlText w:val=""/>
      <w:lvlJc w:val="left"/>
      <w:pPr>
        <w:tabs>
          <w:tab w:val="num" w:pos="5900"/>
        </w:tabs>
        <w:ind w:left="5900" w:hanging="360"/>
      </w:pPr>
      <w:rPr>
        <w:rFonts w:ascii="Symbol" w:hAnsi="Symbol" w:hint="default"/>
      </w:rPr>
    </w:lvl>
    <w:lvl w:ilvl="7" w:tplc="04100003" w:tentative="1">
      <w:start w:val="1"/>
      <w:numFmt w:val="bullet"/>
      <w:lvlText w:val="o"/>
      <w:lvlJc w:val="left"/>
      <w:pPr>
        <w:tabs>
          <w:tab w:val="num" w:pos="6620"/>
        </w:tabs>
        <w:ind w:left="6620" w:hanging="360"/>
      </w:pPr>
      <w:rPr>
        <w:rFonts w:ascii="Courier New" w:hAnsi="Courier New" w:cs="Courier New" w:hint="default"/>
      </w:rPr>
    </w:lvl>
    <w:lvl w:ilvl="8" w:tplc="04100005" w:tentative="1">
      <w:start w:val="1"/>
      <w:numFmt w:val="bullet"/>
      <w:lvlText w:val=""/>
      <w:lvlJc w:val="left"/>
      <w:pPr>
        <w:tabs>
          <w:tab w:val="num" w:pos="7340"/>
        </w:tabs>
        <w:ind w:left="7340" w:hanging="360"/>
      </w:pPr>
      <w:rPr>
        <w:rFonts w:ascii="Wingdings" w:hAnsi="Wingdings" w:hint="default"/>
      </w:rPr>
    </w:lvl>
  </w:abstractNum>
  <w:abstractNum w:abstractNumId="53">
    <w:nsid w:val="423106EA"/>
    <w:multiLevelType w:val="hybridMultilevel"/>
    <w:tmpl w:val="C19CFE12"/>
    <w:lvl w:ilvl="0" w:tplc="1CEE5B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45C44E4"/>
    <w:multiLevelType w:val="hybridMultilevel"/>
    <w:tmpl w:val="3E28E2A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5">
    <w:nsid w:val="449846C5"/>
    <w:multiLevelType w:val="hybridMultilevel"/>
    <w:tmpl w:val="564E840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6">
    <w:nsid w:val="488027B4"/>
    <w:multiLevelType w:val="hybridMultilevel"/>
    <w:tmpl w:val="AB4620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7">
    <w:nsid w:val="48E37210"/>
    <w:multiLevelType w:val="hybridMultilevel"/>
    <w:tmpl w:val="70DC33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49657900"/>
    <w:multiLevelType w:val="hybridMultilevel"/>
    <w:tmpl w:val="ADAE8084"/>
    <w:lvl w:ilvl="0" w:tplc="0410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BAC3A01"/>
    <w:multiLevelType w:val="hybridMultilevel"/>
    <w:tmpl w:val="071CF998"/>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0">
    <w:nsid w:val="4C7979B1"/>
    <w:multiLevelType w:val="hybridMultilevel"/>
    <w:tmpl w:val="B4768E7A"/>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1">
    <w:nsid w:val="4CF63701"/>
    <w:multiLevelType w:val="hybridMultilevel"/>
    <w:tmpl w:val="D9E8198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4E526FF3"/>
    <w:multiLevelType w:val="hybridMultilevel"/>
    <w:tmpl w:val="397C974A"/>
    <w:lvl w:ilvl="0" w:tplc="0410001B">
      <w:start w:val="1"/>
      <w:numFmt w:val="lowerRoman"/>
      <w:lvlText w:val="%1."/>
      <w:lvlJc w:val="right"/>
      <w:pPr>
        <w:ind w:left="51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03075BC"/>
    <w:multiLevelType w:val="hybridMultilevel"/>
    <w:tmpl w:val="EA763C2E"/>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4">
    <w:nsid w:val="51782227"/>
    <w:multiLevelType w:val="hybridMultilevel"/>
    <w:tmpl w:val="C9BE1F8C"/>
    <w:lvl w:ilvl="0" w:tplc="98B25D32">
      <w:start w:val="1"/>
      <w:numFmt w:val="bullet"/>
      <w:lvlText w:val="-"/>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1894A5F"/>
    <w:multiLevelType w:val="hybridMultilevel"/>
    <w:tmpl w:val="A0EE5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521D6F5C"/>
    <w:multiLevelType w:val="hybridMultilevel"/>
    <w:tmpl w:val="EB3C00F4"/>
    <w:lvl w:ilvl="0" w:tplc="A0D6DAA0">
      <w:start w:val="1"/>
      <w:numFmt w:val="bullet"/>
      <w:lvlText w:val=""/>
      <w:lvlJc w:val="left"/>
      <w:pPr>
        <w:tabs>
          <w:tab w:val="num" w:pos="720"/>
        </w:tabs>
        <w:ind w:left="72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58197685"/>
    <w:multiLevelType w:val="hybridMultilevel"/>
    <w:tmpl w:val="92AEB7E2"/>
    <w:lvl w:ilvl="0" w:tplc="0410000F">
      <w:start w:val="1"/>
      <w:numFmt w:val="decimal"/>
      <w:lvlText w:val="%1."/>
      <w:lvlJc w:val="left"/>
      <w:pPr>
        <w:tabs>
          <w:tab w:val="num" w:pos="720"/>
        </w:tabs>
        <w:ind w:left="720" w:hanging="360"/>
      </w:pPr>
    </w:lvl>
    <w:lvl w:ilvl="1" w:tplc="5FD60CA2">
      <w:start w:val="2"/>
      <w:numFmt w:val="bullet"/>
      <w:lvlText w:val="-"/>
      <w:lvlJc w:val="left"/>
      <w:pPr>
        <w:tabs>
          <w:tab w:val="num" w:pos="1440"/>
        </w:tabs>
        <w:ind w:left="1440" w:hanging="360"/>
      </w:pPr>
      <w:rPr>
        <w:rFonts w:ascii="Times New Roman" w:eastAsia="Times New Roman" w:hAnsi="Times New Roman" w:cs="Times New Roman" w:hint="default"/>
      </w:rPr>
    </w:lvl>
    <w:lvl w:ilvl="2" w:tplc="255C9B42">
      <w:start w:val="1"/>
      <w:numFmt w:val="lowerLetter"/>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59F00AC8"/>
    <w:multiLevelType w:val="hybridMultilevel"/>
    <w:tmpl w:val="8A08BD4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5A425BF2"/>
    <w:multiLevelType w:val="hybridMultilevel"/>
    <w:tmpl w:val="61705B9A"/>
    <w:lvl w:ilvl="0" w:tplc="0410000F">
      <w:start w:val="1"/>
      <w:numFmt w:val="decimal"/>
      <w:lvlText w:val="%1."/>
      <w:lvlJc w:val="left"/>
      <w:pPr>
        <w:tabs>
          <w:tab w:val="num" w:pos="360"/>
        </w:tabs>
        <w:ind w:left="360" w:hanging="360"/>
      </w:pPr>
    </w:lvl>
    <w:lvl w:ilvl="1" w:tplc="0410000F">
      <w:start w:val="1"/>
      <w:numFmt w:val="decimal"/>
      <w:lvlText w:val="%2."/>
      <w:lvlJc w:val="left"/>
      <w:pPr>
        <w:tabs>
          <w:tab w:val="num" w:pos="360"/>
        </w:tabs>
        <w:ind w:left="36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0">
    <w:nsid w:val="5B604C43"/>
    <w:multiLevelType w:val="hybridMultilevel"/>
    <w:tmpl w:val="3DF2ECCE"/>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1">
    <w:nsid w:val="5DA30CA5"/>
    <w:multiLevelType w:val="multilevel"/>
    <w:tmpl w:val="5E9040B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2">
    <w:nsid w:val="5E1637BF"/>
    <w:multiLevelType w:val="hybridMultilevel"/>
    <w:tmpl w:val="4FA85FA4"/>
    <w:lvl w:ilvl="0" w:tplc="C8C60E2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15545D4"/>
    <w:multiLevelType w:val="hybridMultilevel"/>
    <w:tmpl w:val="F1747176"/>
    <w:lvl w:ilvl="0" w:tplc="0410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38823BB"/>
    <w:multiLevelType w:val="hybridMultilevel"/>
    <w:tmpl w:val="FAD8C2E2"/>
    <w:lvl w:ilvl="0" w:tplc="98B25D3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65FD6240"/>
    <w:multiLevelType w:val="hybridMultilevel"/>
    <w:tmpl w:val="59B85220"/>
    <w:lvl w:ilvl="0" w:tplc="0410001B">
      <w:start w:val="1"/>
      <w:numFmt w:val="lowerRoman"/>
      <w:lvlText w:val="%1."/>
      <w:lvlJc w:val="right"/>
      <w:pPr>
        <w:ind w:left="51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66760B37"/>
    <w:multiLevelType w:val="hybridMultilevel"/>
    <w:tmpl w:val="D862C2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75912FA"/>
    <w:multiLevelType w:val="hybridMultilevel"/>
    <w:tmpl w:val="52B0AC74"/>
    <w:lvl w:ilvl="0" w:tplc="98B25D32">
      <w:start w:val="1"/>
      <w:numFmt w:val="bullet"/>
      <w:lvlText w:val="-"/>
      <w:lvlJc w:val="left"/>
      <w:pPr>
        <w:ind w:left="1468" w:hanging="360"/>
      </w:pPr>
      <w:rPr>
        <w:rFonts w:ascii="Arial" w:hAnsi="Arial" w:hint="default"/>
      </w:rPr>
    </w:lvl>
    <w:lvl w:ilvl="1" w:tplc="04100003" w:tentative="1">
      <w:start w:val="1"/>
      <w:numFmt w:val="bullet"/>
      <w:lvlText w:val="o"/>
      <w:lvlJc w:val="left"/>
      <w:pPr>
        <w:ind w:left="2188" w:hanging="360"/>
      </w:pPr>
      <w:rPr>
        <w:rFonts w:ascii="Courier New" w:hAnsi="Courier New" w:cs="Courier New" w:hint="default"/>
      </w:rPr>
    </w:lvl>
    <w:lvl w:ilvl="2" w:tplc="04100005" w:tentative="1">
      <w:start w:val="1"/>
      <w:numFmt w:val="bullet"/>
      <w:lvlText w:val=""/>
      <w:lvlJc w:val="left"/>
      <w:pPr>
        <w:ind w:left="2908" w:hanging="360"/>
      </w:pPr>
      <w:rPr>
        <w:rFonts w:ascii="Wingdings" w:hAnsi="Wingdings" w:hint="default"/>
      </w:rPr>
    </w:lvl>
    <w:lvl w:ilvl="3" w:tplc="04100001" w:tentative="1">
      <w:start w:val="1"/>
      <w:numFmt w:val="bullet"/>
      <w:lvlText w:val=""/>
      <w:lvlJc w:val="left"/>
      <w:pPr>
        <w:ind w:left="3628" w:hanging="360"/>
      </w:pPr>
      <w:rPr>
        <w:rFonts w:ascii="Symbol" w:hAnsi="Symbol" w:hint="default"/>
      </w:rPr>
    </w:lvl>
    <w:lvl w:ilvl="4" w:tplc="04100003" w:tentative="1">
      <w:start w:val="1"/>
      <w:numFmt w:val="bullet"/>
      <w:lvlText w:val="o"/>
      <w:lvlJc w:val="left"/>
      <w:pPr>
        <w:ind w:left="4348" w:hanging="360"/>
      </w:pPr>
      <w:rPr>
        <w:rFonts w:ascii="Courier New" w:hAnsi="Courier New" w:cs="Courier New" w:hint="default"/>
      </w:rPr>
    </w:lvl>
    <w:lvl w:ilvl="5" w:tplc="04100005" w:tentative="1">
      <w:start w:val="1"/>
      <w:numFmt w:val="bullet"/>
      <w:lvlText w:val=""/>
      <w:lvlJc w:val="left"/>
      <w:pPr>
        <w:ind w:left="5068" w:hanging="360"/>
      </w:pPr>
      <w:rPr>
        <w:rFonts w:ascii="Wingdings" w:hAnsi="Wingdings" w:hint="default"/>
      </w:rPr>
    </w:lvl>
    <w:lvl w:ilvl="6" w:tplc="04100001" w:tentative="1">
      <w:start w:val="1"/>
      <w:numFmt w:val="bullet"/>
      <w:lvlText w:val=""/>
      <w:lvlJc w:val="left"/>
      <w:pPr>
        <w:ind w:left="5788" w:hanging="360"/>
      </w:pPr>
      <w:rPr>
        <w:rFonts w:ascii="Symbol" w:hAnsi="Symbol" w:hint="default"/>
      </w:rPr>
    </w:lvl>
    <w:lvl w:ilvl="7" w:tplc="04100003" w:tentative="1">
      <w:start w:val="1"/>
      <w:numFmt w:val="bullet"/>
      <w:lvlText w:val="o"/>
      <w:lvlJc w:val="left"/>
      <w:pPr>
        <w:ind w:left="6508" w:hanging="360"/>
      </w:pPr>
      <w:rPr>
        <w:rFonts w:ascii="Courier New" w:hAnsi="Courier New" w:cs="Courier New" w:hint="default"/>
      </w:rPr>
    </w:lvl>
    <w:lvl w:ilvl="8" w:tplc="04100005" w:tentative="1">
      <w:start w:val="1"/>
      <w:numFmt w:val="bullet"/>
      <w:lvlText w:val=""/>
      <w:lvlJc w:val="left"/>
      <w:pPr>
        <w:ind w:left="7228" w:hanging="360"/>
      </w:pPr>
      <w:rPr>
        <w:rFonts w:ascii="Wingdings" w:hAnsi="Wingdings" w:hint="default"/>
      </w:rPr>
    </w:lvl>
  </w:abstractNum>
  <w:abstractNum w:abstractNumId="78">
    <w:nsid w:val="6900765F"/>
    <w:multiLevelType w:val="hybridMultilevel"/>
    <w:tmpl w:val="B5586A60"/>
    <w:lvl w:ilvl="0" w:tplc="0410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C2113C"/>
    <w:multiLevelType w:val="hybridMultilevel"/>
    <w:tmpl w:val="A718B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6AEB16F8"/>
    <w:multiLevelType w:val="hybridMultilevel"/>
    <w:tmpl w:val="C64E507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AFA3A62"/>
    <w:multiLevelType w:val="multilevel"/>
    <w:tmpl w:val="3DF2EC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6D4B2450"/>
    <w:multiLevelType w:val="hybridMultilevel"/>
    <w:tmpl w:val="6F94F73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3">
    <w:nsid w:val="6D923B6C"/>
    <w:multiLevelType w:val="hybridMultilevel"/>
    <w:tmpl w:val="D70EBFFE"/>
    <w:lvl w:ilvl="0" w:tplc="0410001B">
      <w:start w:val="1"/>
      <w:numFmt w:val="lowerRoman"/>
      <w:lvlText w:val="%1."/>
      <w:lvlJc w:val="right"/>
      <w:pPr>
        <w:ind w:left="51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6EA63881"/>
    <w:multiLevelType w:val="hybridMultilevel"/>
    <w:tmpl w:val="CA7451C4"/>
    <w:lvl w:ilvl="0" w:tplc="0410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3F0C5C"/>
    <w:multiLevelType w:val="multilevel"/>
    <w:tmpl w:val="35904B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727C4E07"/>
    <w:multiLevelType w:val="hybridMultilevel"/>
    <w:tmpl w:val="5D32D5A2"/>
    <w:lvl w:ilvl="0" w:tplc="255C9B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03558F"/>
    <w:multiLevelType w:val="hybridMultilevel"/>
    <w:tmpl w:val="2D44F66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756575B4"/>
    <w:multiLevelType w:val="hybridMultilevel"/>
    <w:tmpl w:val="7820C964"/>
    <w:lvl w:ilvl="0" w:tplc="0410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F21276"/>
    <w:multiLevelType w:val="hybridMultilevel"/>
    <w:tmpl w:val="C0BA5AE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0">
    <w:nsid w:val="79091E5E"/>
    <w:multiLevelType w:val="hybridMultilevel"/>
    <w:tmpl w:val="7CB217A0"/>
    <w:lvl w:ilvl="0" w:tplc="0410001B">
      <w:start w:val="1"/>
      <w:numFmt w:val="lowerRoman"/>
      <w:lvlText w:val="%1."/>
      <w:lvlJc w:val="right"/>
      <w:pPr>
        <w:ind w:left="518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7DFE5CA7"/>
    <w:multiLevelType w:val="hybridMultilevel"/>
    <w:tmpl w:val="97007528"/>
    <w:lvl w:ilvl="0" w:tplc="98B25D32">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2">
    <w:nsid w:val="7F0B1B5C"/>
    <w:multiLevelType w:val="hybridMultilevel"/>
    <w:tmpl w:val="B9F45D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3">
    <w:nsid w:val="7F3312A4"/>
    <w:multiLevelType w:val="hybridMultilevel"/>
    <w:tmpl w:val="B740833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4">
    <w:nsid w:val="7FDE3050"/>
    <w:multiLevelType w:val="hybridMultilevel"/>
    <w:tmpl w:val="51B644B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0"/>
  </w:num>
  <w:num w:numId="4">
    <w:abstractNumId w:val="13"/>
  </w:num>
  <w:num w:numId="5">
    <w:abstractNumId w:val="5"/>
  </w:num>
  <w:num w:numId="6">
    <w:abstractNumId w:val="69"/>
  </w:num>
  <w:num w:numId="7">
    <w:abstractNumId w:val="54"/>
  </w:num>
  <w:num w:numId="8">
    <w:abstractNumId w:val="18"/>
  </w:num>
  <w:num w:numId="9">
    <w:abstractNumId w:val="93"/>
  </w:num>
  <w:num w:numId="10">
    <w:abstractNumId w:val="43"/>
  </w:num>
  <w:num w:numId="11">
    <w:abstractNumId w:val="56"/>
  </w:num>
  <w:num w:numId="12">
    <w:abstractNumId w:val="55"/>
  </w:num>
  <w:num w:numId="13">
    <w:abstractNumId w:val="35"/>
  </w:num>
  <w:num w:numId="14">
    <w:abstractNumId w:val="82"/>
  </w:num>
  <w:num w:numId="15">
    <w:abstractNumId w:val="94"/>
  </w:num>
  <w:num w:numId="16">
    <w:abstractNumId w:val="32"/>
  </w:num>
  <w:num w:numId="17">
    <w:abstractNumId w:val="19"/>
  </w:num>
  <w:num w:numId="18">
    <w:abstractNumId w:val="89"/>
  </w:num>
  <w:num w:numId="19">
    <w:abstractNumId w:val="15"/>
  </w:num>
  <w:num w:numId="20">
    <w:abstractNumId w:val="70"/>
  </w:num>
  <w:num w:numId="21">
    <w:abstractNumId w:val="48"/>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num>
  <w:num w:numId="24">
    <w:abstractNumId w:val="52"/>
  </w:num>
  <w:num w:numId="25">
    <w:abstractNumId w:val="22"/>
  </w:num>
  <w:num w:numId="26">
    <w:abstractNumId w:val="29"/>
  </w:num>
  <w:num w:numId="27">
    <w:abstractNumId w:val="28"/>
  </w:num>
  <w:num w:numId="28">
    <w:abstractNumId w:val="21"/>
  </w:num>
  <w:num w:numId="29">
    <w:abstractNumId w:val="47"/>
  </w:num>
  <w:num w:numId="30">
    <w:abstractNumId w:val="73"/>
  </w:num>
  <w:num w:numId="31">
    <w:abstractNumId w:val="88"/>
  </w:num>
  <w:num w:numId="32">
    <w:abstractNumId w:val="76"/>
  </w:num>
  <w:num w:numId="33">
    <w:abstractNumId w:val="37"/>
  </w:num>
  <w:num w:numId="34">
    <w:abstractNumId w:val="20"/>
  </w:num>
  <w:num w:numId="35">
    <w:abstractNumId w:val="84"/>
  </w:num>
  <w:num w:numId="36">
    <w:abstractNumId w:val="24"/>
  </w:num>
  <w:num w:numId="37">
    <w:abstractNumId w:val="57"/>
  </w:num>
  <w:num w:numId="38">
    <w:abstractNumId w:val="86"/>
  </w:num>
  <w:num w:numId="39">
    <w:abstractNumId w:val="58"/>
  </w:num>
  <w:num w:numId="40">
    <w:abstractNumId w:val="44"/>
  </w:num>
  <w:num w:numId="41">
    <w:abstractNumId w:val="81"/>
  </w:num>
  <w:num w:numId="42">
    <w:abstractNumId w:val="1"/>
  </w:num>
  <w:num w:numId="43">
    <w:abstractNumId w:val="85"/>
  </w:num>
  <w:num w:numId="44">
    <w:abstractNumId w:val="78"/>
  </w:num>
  <w:num w:numId="45">
    <w:abstractNumId w:val="71"/>
  </w:num>
  <w:num w:numId="46">
    <w:abstractNumId w:val="46"/>
  </w:num>
  <w:num w:numId="47">
    <w:abstractNumId w:val="3"/>
  </w:num>
  <w:num w:numId="48">
    <w:abstractNumId w:val="53"/>
  </w:num>
  <w:num w:numId="49">
    <w:abstractNumId w:val="66"/>
  </w:num>
  <w:num w:numId="50">
    <w:abstractNumId w:val="34"/>
  </w:num>
  <w:num w:numId="51">
    <w:abstractNumId w:val="4"/>
  </w:num>
  <w:num w:numId="52">
    <w:abstractNumId w:val="41"/>
  </w:num>
  <w:num w:numId="53">
    <w:abstractNumId w:val="75"/>
  </w:num>
  <w:num w:numId="54">
    <w:abstractNumId w:val="50"/>
  </w:num>
  <w:num w:numId="55">
    <w:abstractNumId w:val="61"/>
  </w:num>
  <w:num w:numId="56">
    <w:abstractNumId w:val="38"/>
  </w:num>
  <w:num w:numId="57">
    <w:abstractNumId w:val="68"/>
  </w:num>
  <w:num w:numId="58">
    <w:abstractNumId w:val="30"/>
  </w:num>
  <w:num w:numId="59">
    <w:abstractNumId w:val="87"/>
  </w:num>
  <w:num w:numId="60">
    <w:abstractNumId w:val="80"/>
  </w:num>
  <w:num w:numId="61">
    <w:abstractNumId w:val="6"/>
  </w:num>
  <w:num w:numId="62">
    <w:abstractNumId w:val="42"/>
  </w:num>
  <w:num w:numId="63">
    <w:abstractNumId w:val="60"/>
  </w:num>
  <w:num w:numId="64">
    <w:abstractNumId w:val="23"/>
  </w:num>
  <w:num w:numId="65">
    <w:abstractNumId w:val="27"/>
  </w:num>
  <w:num w:numId="66">
    <w:abstractNumId w:val="79"/>
  </w:num>
  <w:num w:numId="67">
    <w:abstractNumId w:val="33"/>
  </w:num>
  <w:num w:numId="68">
    <w:abstractNumId w:val="77"/>
  </w:num>
  <w:num w:numId="69">
    <w:abstractNumId w:val="40"/>
  </w:num>
  <w:num w:numId="70">
    <w:abstractNumId w:val="63"/>
  </w:num>
  <w:num w:numId="71">
    <w:abstractNumId w:val="31"/>
  </w:num>
  <w:num w:numId="72">
    <w:abstractNumId w:val="92"/>
  </w:num>
  <w:num w:numId="73">
    <w:abstractNumId w:val="39"/>
  </w:num>
  <w:num w:numId="74">
    <w:abstractNumId w:val="59"/>
  </w:num>
  <w:num w:numId="75">
    <w:abstractNumId w:val="91"/>
  </w:num>
  <w:num w:numId="76">
    <w:abstractNumId w:val="51"/>
  </w:num>
  <w:num w:numId="77">
    <w:abstractNumId w:val="16"/>
  </w:num>
  <w:num w:numId="78">
    <w:abstractNumId w:val="74"/>
  </w:num>
  <w:num w:numId="79">
    <w:abstractNumId w:val="83"/>
  </w:num>
  <w:num w:numId="80">
    <w:abstractNumId w:val="72"/>
  </w:num>
  <w:num w:numId="81">
    <w:abstractNumId w:val="90"/>
  </w:num>
  <w:num w:numId="82">
    <w:abstractNumId w:val="49"/>
  </w:num>
  <w:num w:numId="83">
    <w:abstractNumId w:val="12"/>
  </w:num>
  <w:num w:numId="84">
    <w:abstractNumId w:val="62"/>
  </w:num>
  <w:num w:numId="85">
    <w:abstractNumId w:val="36"/>
  </w:num>
  <w:num w:numId="86">
    <w:abstractNumId w:val="9"/>
  </w:num>
  <w:num w:numId="87">
    <w:abstractNumId w:val="14"/>
  </w:num>
  <w:num w:numId="88">
    <w:abstractNumId w:val="45"/>
  </w:num>
  <w:num w:numId="89">
    <w:abstractNumId w:val="26"/>
  </w:num>
  <w:num w:numId="90">
    <w:abstractNumId w:val="11"/>
  </w:num>
  <w:num w:numId="91">
    <w:abstractNumId w:val="64"/>
  </w:num>
  <w:num w:numId="92">
    <w:abstractNumId w:val="17"/>
  </w:num>
  <w:num w:numId="93">
    <w:abstractNumId w:val="7"/>
  </w:num>
  <w:num w:numId="94">
    <w:abstractNumId w:val="2"/>
  </w:num>
  <w:num w:numId="95">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3" w:dllVersion="517" w:checkStyle="1"/>
  <w:proofState w:spelling="clean"/>
  <w:defaultTabStop w:val="17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59"/>
    <w:rsid w:val="0000251B"/>
    <w:rsid w:val="00002C99"/>
    <w:rsid w:val="00003274"/>
    <w:rsid w:val="00006CE5"/>
    <w:rsid w:val="000100CA"/>
    <w:rsid w:val="0001039A"/>
    <w:rsid w:val="00010ABB"/>
    <w:rsid w:val="00014D45"/>
    <w:rsid w:val="00016C37"/>
    <w:rsid w:val="0001707F"/>
    <w:rsid w:val="0002070A"/>
    <w:rsid w:val="0002085A"/>
    <w:rsid w:val="00023DB6"/>
    <w:rsid w:val="00024337"/>
    <w:rsid w:val="000247D8"/>
    <w:rsid w:val="000256EF"/>
    <w:rsid w:val="00030ADE"/>
    <w:rsid w:val="000313C5"/>
    <w:rsid w:val="000319B9"/>
    <w:rsid w:val="000359EF"/>
    <w:rsid w:val="000360FA"/>
    <w:rsid w:val="000364E8"/>
    <w:rsid w:val="00037701"/>
    <w:rsid w:val="00045E62"/>
    <w:rsid w:val="000543B2"/>
    <w:rsid w:val="000556F7"/>
    <w:rsid w:val="00063692"/>
    <w:rsid w:val="00063D23"/>
    <w:rsid w:val="00063F91"/>
    <w:rsid w:val="000675F3"/>
    <w:rsid w:val="000705E3"/>
    <w:rsid w:val="00077941"/>
    <w:rsid w:val="00077C01"/>
    <w:rsid w:val="00083B1B"/>
    <w:rsid w:val="00092DC9"/>
    <w:rsid w:val="000A73F4"/>
    <w:rsid w:val="000B08D2"/>
    <w:rsid w:val="000B639C"/>
    <w:rsid w:val="000B6DEA"/>
    <w:rsid w:val="000C090C"/>
    <w:rsid w:val="000C2D9F"/>
    <w:rsid w:val="000D08E3"/>
    <w:rsid w:val="000D0AD5"/>
    <w:rsid w:val="000D2B3A"/>
    <w:rsid w:val="000D74AC"/>
    <w:rsid w:val="000E0194"/>
    <w:rsid w:val="000E1E5B"/>
    <w:rsid w:val="000E298C"/>
    <w:rsid w:val="000E3C10"/>
    <w:rsid w:val="000E41BD"/>
    <w:rsid w:val="000E5561"/>
    <w:rsid w:val="000E7666"/>
    <w:rsid w:val="000F0F63"/>
    <w:rsid w:val="001043BE"/>
    <w:rsid w:val="0010600F"/>
    <w:rsid w:val="001073B0"/>
    <w:rsid w:val="0011230B"/>
    <w:rsid w:val="00114093"/>
    <w:rsid w:val="00114BE6"/>
    <w:rsid w:val="00116F7B"/>
    <w:rsid w:val="00120D40"/>
    <w:rsid w:val="00120DED"/>
    <w:rsid w:val="00121548"/>
    <w:rsid w:val="00124624"/>
    <w:rsid w:val="00125AFE"/>
    <w:rsid w:val="0012618E"/>
    <w:rsid w:val="00127AD1"/>
    <w:rsid w:val="00132734"/>
    <w:rsid w:val="00133FD2"/>
    <w:rsid w:val="00141B9E"/>
    <w:rsid w:val="001472EE"/>
    <w:rsid w:val="00147451"/>
    <w:rsid w:val="00155018"/>
    <w:rsid w:val="0015668B"/>
    <w:rsid w:val="00160A0B"/>
    <w:rsid w:val="0016215C"/>
    <w:rsid w:val="00163987"/>
    <w:rsid w:val="00170CA4"/>
    <w:rsid w:val="001745F5"/>
    <w:rsid w:val="00175C3E"/>
    <w:rsid w:val="001815AC"/>
    <w:rsid w:val="001818D0"/>
    <w:rsid w:val="00182D01"/>
    <w:rsid w:val="00187057"/>
    <w:rsid w:val="00190234"/>
    <w:rsid w:val="001A099F"/>
    <w:rsid w:val="001A26EE"/>
    <w:rsid w:val="001A50A6"/>
    <w:rsid w:val="001A541D"/>
    <w:rsid w:val="001A5C62"/>
    <w:rsid w:val="001A67E5"/>
    <w:rsid w:val="001A768F"/>
    <w:rsid w:val="001B400C"/>
    <w:rsid w:val="001C01FC"/>
    <w:rsid w:val="001C135B"/>
    <w:rsid w:val="001C2364"/>
    <w:rsid w:val="001C5CED"/>
    <w:rsid w:val="001C75FD"/>
    <w:rsid w:val="001D015A"/>
    <w:rsid w:val="001D1873"/>
    <w:rsid w:val="001D2B97"/>
    <w:rsid w:val="001D305C"/>
    <w:rsid w:val="001D3AA7"/>
    <w:rsid w:val="001D5C40"/>
    <w:rsid w:val="001D76EC"/>
    <w:rsid w:val="001E5866"/>
    <w:rsid w:val="00202D00"/>
    <w:rsid w:val="0020493D"/>
    <w:rsid w:val="00212209"/>
    <w:rsid w:val="002139EB"/>
    <w:rsid w:val="002142A7"/>
    <w:rsid w:val="002170C4"/>
    <w:rsid w:val="00226A25"/>
    <w:rsid w:val="00227C97"/>
    <w:rsid w:val="0023303E"/>
    <w:rsid w:val="0023320A"/>
    <w:rsid w:val="0023455A"/>
    <w:rsid w:val="00235D6C"/>
    <w:rsid w:val="00252A80"/>
    <w:rsid w:val="00254877"/>
    <w:rsid w:val="0025724B"/>
    <w:rsid w:val="00257527"/>
    <w:rsid w:val="00261433"/>
    <w:rsid w:val="002667DF"/>
    <w:rsid w:val="00270EE0"/>
    <w:rsid w:val="00280B92"/>
    <w:rsid w:val="002822DC"/>
    <w:rsid w:val="00284567"/>
    <w:rsid w:val="0028504B"/>
    <w:rsid w:val="0028605B"/>
    <w:rsid w:val="00290F07"/>
    <w:rsid w:val="0029398D"/>
    <w:rsid w:val="0029727A"/>
    <w:rsid w:val="00297A66"/>
    <w:rsid w:val="002A0B0F"/>
    <w:rsid w:val="002A36EB"/>
    <w:rsid w:val="002A393B"/>
    <w:rsid w:val="002A7696"/>
    <w:rsid w:val="002B2CCA"/>
    <w:rsid w:val="002B68F5"/>
    <w:rsid w:val="002C11A7"/>
    <w:rsid w:val="002D0884"/>
    <w:rsid w:val="002D553A"/>
    <w:rsid w:val="002D5D2C"/>
    <w:rsid w:val="002D73EC"/>
    <w:rsid w:val="002F3D6A"/>
    <w:rsid w:val="002F624C"/>
    <w:rsid w:val="002F6F1F"/>
    <w:rsid w:val="003000A3"/>
    <w:rsid w:val="00306980"/>
    <w:rsid w:val="00311D0B"/>
    <w:rsid w:val="00316A61"/>
    <w:rsid w:val="0032390D"/>
    <w:rsid w:val="003242D9"/>
    <w:rsid w:val="00327515"/>
    <w:rsid w:val="00331BE2"/>
    <w:rsid w:val="00331C8B"/>
    <w:rsid w:val="0033435B"/>
    <w:rsid w:val="003427D6"/>
    <w:rsid w:val="003438CF"/>
    <w:rsid w:val="00352967"/>
    <w:rsid w:val="00352B32"/>
    <w:rsid w:val="0035464C"/>
    <w:rsid w:val="003546E7"/>
    <w:rsid w:val="00356A01"/>
    <w:rsid w:val="00360253"/>
    <w:rsid w:val="00361B36"/>
    <w:rsid w:val="00364B9C"/>
    <w:rsid w:val="00373191"/>
    <w:rsid w:val="003754F6"/>
    <w:rsid w:val="0038367C"/>
    <w:rsid w:val="003861C5"/>
    <w:rsid w:val="003868E8"/>
    <w:rsid w:val="00390AF8"/>
    <w:rsid w:val="00392729"/>
    <w:rsid w:val="00392E5E"/>
    <w:rsid w:val="003A0E6D"/>
    <w:rsid w:val="003A1DF3"/>
    <w:rsid w:val="003A548B"/>
    <w:rsid w:val="003B2655"/>
    <w:rsid w:val="003B50CD"/>
    <w:rsid w:val="003B774C"/>
    <w:rsid w:val="003C0C3C"/>
    <w:rsid w:val="003C20CA"/>
    <w:rsid w:val="003C2E85"/>
    <w:rsid w:val="003C553E"/>
    <w:rsid w:val="003C66D7"/>
    <w:rsid w:val="003D7DD2"/>
    <w:rsid w:val="003E0211"/>
    <w:rsid w:val="003E218E"/>
    <w:rsid w:val="003E6B2C"/>
    <w:rsid w:val="003E7EDF"/>
    <w:rsid w:val="003F1EFF"/>
    <w:rsid w:val="003F7F76"/>
    <w:rsid w:val="0040366F"/>
    <w:rsid w:val="00404F5A"/>
    <w:rsid w:val="00417FF9"/>
    <w:rsid w:val="0042183F"/>
    <w:rsid w:val="004230D8"/>
    <w:rsid w:val="004255A8"/>
    <w:rsid w:val="00431985"/>
    <w:rsid w:val="00431992"/>
    <w:rsid w:val="004402DF"/>
    <w:rsid w:val="004444F1"/>
    <w:rsid w:val="00445896"/>
    <w:rsid w:val="004463CE"/>
    <w:rsid w:val="00460D0D"/>
    <w:rsid w:val="00463875"/>
    <w:rsid w:val="00467AE5"/>
    <w:rsid w:val="004705A3"/>
    <w:rsid w:val="00471EA3"/>
    <w:rsid w:val="00472C3E"/>
    <w:rsid w:val="004743A4"/>
    <w:rsid w:val="004804D6"/>
    <w:rsid w:val="00490F33"/>
    <w:rsid w:val="00492C32"/>
    <w:rsid w:val="00497BF8"/>
    <w:rsid w:val="004A04DC"/>
    <w:rsid w:val="004A04EC"/>
    <w:rsid w:val="004A1306"/>
    <w:rsid w:val="004A3236"/>
    <w:rsid w:val="004A3642"/>
    <w:rsid w:val="004A6B0A"/>
    <w:rsid w:val="004A7A75"/>
    <w:rsid w:val="004B1044"/>
    <w:rsid w:val="004C2E45"/>
    <w:rsid w:val="004C3215"/>
    <w:rsid w:val="004C36EA"/>
    <w:rsid w:val="004C5B28"/>
    <w:rsid w:val="004C7A5E"/>
    <w:rsid w:val="004D097F"/>
    <w:rsid w:val="004D1A49"/>
    <w:rsid w:val="004D2160"/>
    <w:rsid w:val="004D4F7F"/>
    <w:rsid w:val="004D529C"/>
    <w:rsid w:val="004D5B77"/>
    <w:rsid w:val="004E1D37"/>
    <w:rsid w:val="004E579F"/>
    <w:rsid w:val="004E623B"/>
    <w:rsid w:val="004F408F"/>
    <w:rsid w:val="004F63D3"/>
    <w:rsid w:val="004F6CA9"/>
    <w:rsid w:val="005007AE"/>
    <w:rsid w:val="00500BFB"/>
    <w:rsid w:val="00501881"/>
    <w:rsid w:val="005035B3"/>
    <w:rsid w:val="00505640"/>
    <w:rsid w:val="00510C27"/>
    <w:rsid w:val="0051272A"/>
    <w:rsid w:val="005150E1"/>
    <w:rsid w:val="005159A5"/>
    <w:rsid w:val="00515CA5"/>
    <w:rsid w:val="00520846"/>
    <w:rsid w:val="0052539A"/>
    <w:rsid w:val="005255FC"/>
    <w:rsid w:val="005259D4"/>
    <w:rsid w:val="005323C7"/>
    <w:rsid w:val="0053346C"/>
    <w:rsid w:val="005349DB"/>
    <w:rsid w:val="005361B5"/>
    <w:rsid w:val="0053643F"/>
    <w:rsid w:val="00543735"/>
    <w:rsid w:val="00551154"/>
    <w:rsid w:val="00553C02"/>
    <w:rsid w:val="00554046"/>
    <w:rsid w:val="0055724E"/>
    <w:rsid w:val="00563B4F"/>
    <w:rsid w:val="00564503"/>
    <w:rsid w:val="005703E5"/>
    <w:rsid w:val="00570736"/>
    <w:rsid w:val="00572F78"/>
    <w:rsid w:val="0057737F"/>
    <w:rsid w:val="005800C7"/>
    <w:rsid w:val="005844A8"/>
    <w:rsid w:val="00586944"/>
    <w:rsid w:val="0058705C"/>
    <w:rsid w:val="00587A53"/>
    <w:rsid w:val="0059078C"/>
    <w:rsid w:val="00593DB6"/>
    <w:rsid w:val="00597414"/>
    <w:rsid w:val="00597982"/>
    <w:rsid w:val="005A07A0"/>
    <w:rsid w:val="005A23AF"/>
    <w:rsid w:val="005A252B"/>
    <w:rsid w:val="005A5D8B"/>
    <w:rsid w:val="005A63A5"/>
    <w:rsid w:val="005B00E6"/>
    <w:rsid w:val="005C0BED"/>
    <w:rsid w:val="005C17DF"/>
    <w:rsid w:val="005C1EBF"/>
    <w:rsid w:val="005C2E9A"/>
    <w:rsid w:val="005C2EF9"/>
    <w:rsid w:val="005C7EC1"/>
    <w:rsid w:val="005D13E8"/>
    <w:rsid w:val="005D4CC4"/>
    <w:rsid w:val="005E0ED0"/>
    <w:rsid w:val="005E30B6"/>
    <w:rsid w:val="005E4F73"/>
    <w:rsid w:val="005E5EB1"/>
    <w:rsid w:val="005F01B2"/>
    <w:rsid w:val="005F09AC"/>
    <w:rsid w:val="005F6B0E"/>
    <w:rsid w:val="005F708B"/>
    <w:rsid w:val="00603765"/>
    <w:rsid w:val="006037D1"/>
    <w:rsid w:val="00615005"/>
    <w:rsid w:val="00621DB7"/>
    <w:rsid w:val="00627A43"/>
    <w:rsid w:val="00636404"/>
    <w:rsid w:val="00640C8F"/>
    <w:rsid w:val="00642E48"/>
    <w:rsid w:val="00643173"/>
    <w:rsid w:val="00644377"/>
    <w:rsid w:val="00645E95"/>
    <w:rsid w:val="00647CFA"/>
    <w:rsid w:val="00654B95"/>
    <w:rsid w:val="00656A8E"/>
    <w:rsid w:val="00663C8F"/>
    <w:rsid w:val="00675DD0"/>
    <w:rsid w:val="0068108B"/>
    <w:rsid w:val="006848F9"/>
    <w:rsid w:val="00687095"/>
    <w:rsid w:val="006914F2"/>
    <w:rsid w:val="006922B8"/>
    <w:rsid w:val="00695D01"/>
    <w:rsid w:val="00696637"/>
    <w:rsid w:val="006A4BD9"/>
    <w:rsid w:val="006A56D8"/>
    <w:rsid w:val="006B4A4C"/>
    <w:rsid w:val="006B7B27"/>
    <w:rsid w:val="006C1220"/>
    <w:rsid w:val="006C3A96"/>
    <w:rsid w:val="006C49DF"/>
    <w:rsid w:val="006E23A2"/>
    <w:rsid w:val="006E2503"/>
    <w:rsid w:val="006E27F4"/>
    <w:rsid w:val="006E3980"/>
    <w:rsid w:val="006E7057"/>
    <w:rsid w:val="00701545"/>
    <w:rsid w:val="007023B2"/>
    <w:rsid w:val="00706E7A"/>
    <w:rsid w:val="00716446"/>
    <w:rsid w:val="00726B80"/>
    <w:rsid w:val="00727A79"/>
    <w:rsid w:val="00731078"/>
    <w:rsid w:val="007422AF"/>
    <w:rsid w:val="00742798"/>
    <w:rsid w:val="00747EED"/>
    <w:rsid w:val="00752A83"/>
    <w:rsid w:val="007735EC"/>
    <w:rsid w:val="00776B51"/>
    <w:rsid w:val="00777F31"/>
    <w:rsid w:val="00782270"/>
    <w:rsid w:val="00784587"/>
    <w:rsid w:val="00790588"/>
    <w:rsid w:val="00790DAB"/>
    <w:rsid w:val="007960A2"/>
    <w:rsid w:val="007963E6"/>
    <w:rsid w:val="007A01E6"/>
    <w:rsid w:val="007A13DD"/>
    <w:rsid w:val="007A2366"/>
    <w:rsid w:val="007A2678"/>
    <w:rsid w:val="007A3BA6"/>
    <w:rsid w:val="007A7306"/>
    <w:rsid w:val="007B0DD5"/>
    <w:rsid w:val="007B15EB"/>
    <w:rsid w:val="007B4EA2"/>
    <w:rsid w:val="007D4026"/>
    <w:rsid w:val="007D65C8"/>
    <w:rsid w:val="007E295D"/>
    <w:rsid w:val="007E43A2"/>
    <w:rsid w:val="007E4CE5"/>
    <w:rsid w:val="007E6798"/>
    <w:rsid w:val="007E6A46"/>
    <w:rsid w:val="007F2FF9"/>
    <w:rsid w:val="007F5647"/>
    <w:rsid w:val="00802E03"/>
    <w:rsid w:val="00804F47"/>
    <w:rsid w:val="00804F5B"/>
    <w:rsid w:val="00805183"/>
    <w:rsid w:val="00805D2B"/>
    <w:rsid w:val="00807B90"/>
    <w:rsid w:val="008106BC"/>
    <w:rsid w:val="00813DC8"/>
    <w:rsid w:val="00815182"/>
    <w:rsid w:val="00815FEC"/>
    <w:rsid w:val="008162A5"/>
    <w:rsid w:val="00825E5C"/>
    <w:rsid w:val="00830409"/>
    <w:rsid w:val="00832355"/>
    <w:rsid w:val="00832766"/>
    <w:rsid w:val="00833EB3"/>
    <w:rsid w:val="00833EDC"/>
    <w:rsid w:val="00834189"/>
    <w:rsid w:val="00837A98"/>
    <w:rsid w:val="00841031"/>
    <w:rsid w:val="008443C2"/>
    <w:rsid w:val="00846762"/>
    <w:rsid w:val="00850D13"/>
    <w:rsid w:val="008645C8"/>
    <w:rsid w:val="00871802"/>
    <w:rsid w:val="0087716B"/>
    <w:rsid w:val="00880E39"/>
    <w:rsid w:val="008821CF"/>
    <w:rsid w:val="00884DA0"/>
    <w:rsid w:val="00884E32"/>
    <w:rsid w:val="00894E51"/>
    <w:rsid w:val="00896569"/>
    <w:rsid w:val="008A02F4"/>
    <w:rsid w:val="008A46D0"/>
    <w:rsid w:val="008B28BE"/>
    <w:rsid w:val="008B3711"/>
    <w:rsid w:val="008C3D99"/>
    <w:rsid w:val="008C6BAD"/>
    <w:rsid w:val="008D06FA"/>
    <w:rsid w:val="008D1805"/>
    <w:rsid w:val="008D2641"/>
    <w:rsid w:val="008D55A1"/>
    <w:rsid w:val="008E79C5"/>
    <w:rsid w:val="008F012C"/>
    <w:rsid w:val="008F13CF"/>
    <w:rsid w:val="008F144E"/>
    <w:rsid w:val="008F58AC"/>
    <w:rsid w:val="00901009"/>
    <w:rsid w:val="00901C7C"/>
    <w:rsid w:val="00905B83"/>
    <w:rsid w:val="009070B6"/>
    <w:rsid w:val="00907B62"/>
    <w:rsid w:val="009115E0"/>
    <w:rsid w:val="00914728"/>
    <w:rsid w:val="0092284C"/>
    <w:rsid w:val="00930A14"/>
    <w:rsid w:val="00930AE4"/>
    <w:rsid w:val="00932D1C"/>
    <w:rsid w:val="00933FB5"/>
    <w:rsid w:val="00934081"/>
    <w:rsid w:val="009351D1"/>
    <w:rsid w:val="009355C2"/>
    <w:rsid w:val="00935858"/>
    <w:rsid w:val="00942E6F"/>
    <w:rsid w:val="0094491F"/>
    <w:rsid w:val="00947F38"/>
    <w:rsid w:val="00951C9A"/>
    <w:rsid w:val="0095504A"/>
    <w:rsid w:val="00960E55"/>
    <w:rsid w:val="00965C23"/>
    <w:rsid w:val="00966B7D"/>
    <w:rsid w:val="00967211"/>
    <w:rsid w:val="0097106B"/>
    <w:rsid w:val="00985E42"/>
    <w:rsid w:val="0099523B"/>
    <w:rsid w:val="009A3973"/>
    <w:rsid w:val="009A47CE"/>
    <w:rsid w:val="009C1554"/>
    <w:rsid w:val="009C35C0"/>
    <w:rsid w:val="009D2BF2"/>
    <w:rsid w:val="009E5264"/>
    <w:rsid w:val="009E7403"/>
    <w:rsid w:val="00A03A59"/>
    <w:rsid w:val="00A07479"/>
    <w:rsid w:val="00A11101"/>
    <w:rsid w:val="00A22E22"/>
    <w:rsid w:val="00A2658F"/>
    <w:rsid w:val="00A32E89"/>
    <w:rsid w:val="00A32EB9"/>
    <w:rsid w:val="00A36F47"/>
    <w:rsid w:val="00A420B0"/>
    <w:rsid w:val="00A45F5C"/>
    <w:rsid w:val="00A50CB2"/>
    <w:rsid w:val="00A576D5"/>
    <w:rsid w:val="00A63390"/>
    <w:rsid w:val="00A65C0F"/>
    <w:rsid w:val="00A85E65"/>
    <w:rsid w:val="00A92B30"/>
    <w:rsid w:val="00A94F29"/>
    <w:rsid w:val="00AA185B"/>
    <w:rsid w:val="00AA593E"/>
    <w:rsid w:val="00AB3BF2"/>
    <w:rsid w:val="00AB7E8A"/>
    <w:rsid w:val="00AC26B0"/>
    <w:rsid w:val="00AC2988"/>
    <w:rsid w:val="00AC3909"/>
    <w:rsid w:val="00AD0B31"/>
    <w:rsid w:val="00AE0B5B"/>
    <w:rsid w:val="00AE32AF"/>
    <w:rsid w:val="00AE6635"/>
    <w:rsid w:val="00AE6EBC"/>
    <w:rsid w:val="00AF24DE"/>
    <w:rsid w:val="00AF3430"/>
    <w:rsid w:val="00AF3699"/>
    <w:rsid w:val="00AF4BC2"/>
    <w:rsid w:val="00AF5AB5"/>
    <w:rsid w:val="00AF69B9"/>
    <w:rsid w:val="00AF6BF8"/>
    <w:rsid w:val="00B0129C"/>
    <w:rsid w:val="00B01F88"/>
    <w:rsid w:val="00B03A8B"/>
    <w:rsid w:val="00B04528"/>
    <w:rsid w:val="00B065E7"/>
    <w:rsid w:val="00B146D2"/>
    <w:rsid w:val="00B15A46"/>
    <w:rsid w:val="00B24C5E"/>
    <w:rsid w:val="00B25172"/>
    <w:rsid w:val="00B274B8"/>
    <w:rsid w:val="00B32E00"/>
    <w:rsid w:val="00B33553"/>
    <w:rsid w:val="00B36E36"/>
    <w:rsid w:val="00B37556"/>
    <w:rsid w:val="00B40CCF"/>
    <w:rsid w:val="00B42840"/>
    <w:rsid w:val="00B65D94"/>
    <w:rsid w:val="00B72E04"/>
    <w:rsid w:val="00B73A38"/>
    <w:rsid w:val="00B80293"/>
    <w:rsid w:val="00B81A93"/>
    <w:rsid w:val="00B874D1"/>
    <w:rsid w:val="00B9052C"/>
    <w:rsid w:val="00B91E8B"/>
    <w:rsid w:val="00B95C2F"/>
    <w:rsid w:val="00B95CE7"/>
    <w:rsid w:val="00B9600D"/>
    <w:rsid w:val="00B965F1"/>
    <w:rsid w:val="00BA0EE2"/>
    <w:rsid w:val="00BA6999"/>
    <w:rsid w:val="00BB1C7A"/>
    <w:rsid w:val="00BC0533"/>
    <w:rsid w:val="00BC0F15"/>
    <w:rsid w:val="00BC32DD"/>
    <w:rsid w:val="00BC3687"/>
    <w:rsid w:val="00BC3D72"/>
    <w:rsid w:val="00BC4CF1"/>
    <w:rsid w:val="00BD0243"/>
    <w:rsid w:val="00BD456E"/>
    <w:rsid w:val="00BD6600"/>
    <w:rsid w:val="00BD7F3A"/>
    <w:rsid w:val="00BE3E9D"/>
    <w:rsid w:val="00BE6042"/>
    <w:rsid w:val="00BE6429"/>
    <w:rsid w:val="00BF0288"/>
    <w:rsid w:val="00BF0E79"/>
    <w:rsid w:val="00BF1276"/>
    <w:rsid w:val="00BF391F"/>
    <w:rsid w:val="00BF4484"/>
    <w:rsid w:val="00BF6394"/>
    <w:rsid w:val="00C06C91"/>
    <w:rsid w:val="00C109DE"/>
    <w:rsid w:val="00C15AB2"/>
    <w:rsid w:val="00C1698D"/>
    <w:rsid w:val="00C21EDD"/>
    <w:rsid w:val="00C21FFE"/>
    <w:rsid w:val="00C312F1"/>
    <w:rsid w:val="00C371F3"/>
    <w:rsid w:val="00C37302"/>
    <w:rsid w:val="00C40216"/>
    <w:rsid w:val="00C402CF"/>
    <w:rsid w:val="00C42072"/>
    <w:rsid w:val="00C42231"/>
    <w:rsid w:val="00C429BF"/>
    <w:rsid w:val="00C46969"/>
    <w:rsid w:val="00C51210"/>
    <w:rsid w:val="00C53FF5"/>
    <w:rsid w:val="00C61B79"/>
    <w:rsid w:val="00C676A7"/>
    <w:rsid w:val="00C71485"/>
    <w:rsid w:val="00C717D0"/>
    <w:rsid w:val="00C75C21"/>
    <w:rsid w:val="00C766F8"/>
    <w:rsid w:val="00C82FDE"/>
    <w:rsid w:val="00C857F3"/>
    <w:rsid w:val="00C86E01"/>
    <w:rsid w:val="00C87018"/>
    <w:rsid w:val="00C90ECF"/>
    <w:rsid w:val="00CA0B50"/>
    <w:rsid w:val="00CB61ED"/>
    <w:rsid w:val="00CC2302"/>
    <w:rsid w:val="00CC4829"/>
    <w:rsid w:val="00CD32F8"/>
    <w:rsid w:val="00CD37C6"/>
    <w:rsid w:val="00CD710D"/>
    <w:rsid w:val="00CD7FE5"/>
    <w:rsid w:val="00CE35F4"/>
    <w:rsid w:val="00CE4912"/>
    <w:rsid w:val="00CE6E28"/>
    <w:rsid w:val="00CF4762"/>
    <w:rsid w:val="00CF4B1E"/>
    <w:rsid w:val="00CF4B40"/>
    <w:rsid w:val="00CF6E1D"/>
    <w:rsid w:val="00D04DBE"/>
    <w:rsid w:val="00D06208"/>
    <w:rsid w:val="00D11C14"/>
    <w:rsid w:val="00D12234"/>
    <w:rsid w:val="00D1375B"/>
    <w:rsid w:val="00D138E4"/>
    <w:rsid w:val="00D13C2F"/>
    <w:rsid w:val="00D1595A"/>
    <w:rsid w:val="00D16B35"/>
    <w:rsid w:val="00D1774F"/>
    <w:rsid w:val="00D179CF"/>
    <w:rsid w:val="00D24827"/>
    <w:rsid w:val="00D34249"/>
    <w:rsid w:val="00D363FF"/>
    <w:rsid w:val="00D37289"/>
    <w:rsid w:val="00D450DB"/>
    <w:rsid w:val="00D45967"/>
    <w:rsid w:val="00D4667F"/>
    <w:rsid w:val="00D473CF"/>
    <w:rsid w:val="00D502AB"/>
    <w:rsid w:val="00D5120E"/>
    <w:rsid w:val="00D52406"/>
    <w:rsid w:val="00D621EA"/>
    <w:rsid w:val="00D63A6D"/>
    <w:rsid w:val="00D65C8A"/>
    <w:rsid w:val="00D74BDA"/>
    <w:rsid w:val="00D86F14"/>
    <w:rsid w:val="00D9117A"/>
    <w:rsid w:val="00D951A0"/>
    <w:rsid w:val="00DA0F1D"/>
    <w:rsid w:val="00DA13BC"/>
    <w:rsid w:val="00DB13E6"/>
    <w:rsid w:val="00DB4E9F"/>
    <w:rsid w:val="00DC08A4"/>
    <w:rsid w:val="00DC0E31"/>
    <w:rsid w:val="00DC1230"/>
    <w:rsid w:val="00DC30F9"/>
    <w:rsid w:val="00DD3B2C"/>
    <w:rsid w:val="00DD79BD"/>
    <w:rsid w:val="00DE257F"/>
    <w:rsid w:val="00DE5123"/>
    <w:rsid w:val="00DF06BE"/>
    <w:rsid w:val="00DF1F86"/>
    <w:rsid w:val="00DF4A0A"/>
    <w:rsid w:val="00DF5553"/>
    <w:rsid w:val="00DF5C85"/>
    <w:rsid w:val="00DF6563"/>
    <w:rsid w:val="00DF6C91"/>
    <w:rsid w:val="00E04536"/>
    <w:rsid w:val="00E07730"/>
    <w:rsid w:val="00E12D4C"/>
    <w:rsid w:val="00E14CB6"/>
    <w:rsid w:val="00E14F98"/>
    <w:rsid w:val="00E15904"/>
    <w:rsid w:val="00E15A73"/>
    <w:rsid w:val="00E15ABA"/>
    <w:rsid w:val="00E211D8"/>
    <w:rsid w:val="00E25EC7"/>
    <w:rsid w:val="00E27458"/>
    <w:rsid w:val="00E277AF"/>
    <w:rsid w:val="00E277D0"/>
    <w:rsid w:val="00E32476"/>
    <w:rsid w:val="00E32F9E"/>
    <w:rsid w:val="00E578BB"/>
    <w:rsid w:val="00E647A4"/>
    <w:rsid w:val="00E72BF3"/>
    <w:rsid w:val="00E730CD"/>
    <w:rsid w:val="00E76FD1"/>
    <w:rsid w:val="00E80A48"/>
    <w:rsid w:val="00E81978"/>
    <w:rsid w:val="00E842F8"/>
    <w:rsid w:val="00E93D99"/>
    <w:rsid w:val="00EB2FBA"/>
    <w:rsid w:val="00EB4875"/>
    <w:rsid w:val="00EC020C"/>
    <w:rsid w:val="00EC0ED1"/>
    <w:rsid w:val="00EC2C64"/>
    <w:rsid w:val="00EC7AB4"/>
    <w:rsid w:val="00ED1418"/>
    <w:rsid w:val="00ED61A7"/>
    <w:rsid w:val="00EE558D"/>
    <w:rsid w:val="00EF0880"/>
    <w:rsid w:val="00EF0AA0"/>
    <w:rsid w:val="00EF118D"/>
    <w:rsid w:val="00EF7412"/>
    <w:rsid w:val="00F04268"/>
    <w:rsid w:val="00F10061"/>
    <w:rsid w:val="00F11F42"/>
    <w:rsid w:val="00F127AD"/>
    <w:rsid w:val="00F14DD7"/>
    <w:rsid w:val="00F17EE2"/>
    <w:rsid w:val="00F26DDF"/>
    <w:rsid w:val="00F3215F"/>
    <w:rsid w:val="00F35A33"/>
    <w:rsid w:val="00F45454"/>
    <w:rsid w:val="00F456DF"/>
    <w:rsid w:val="00F475F8"/>
    <w:rsid w:val="00F479CB"/>
    <w:rsid w:val="00F504D5"/>
    <w:rsid w:val="00F532F5"/>
    <w:rsid w:val="00F56796"/>
    <w:rsid w:val="00F612A8"/>
    <w:rsid w:val="00F61BD3"/>
    <w:rsid w:val="00F62A66"/>
    <w:rsid w:val="00F63D51"/>
    <w:rsid w:val="00F66452"/>
    <w:rsid w:val="00F66ACB"/>
    <w:rsid w:val="00F66DBD"/>
    <w:rsid w:val="00F72CD4"/>
    <w:rsid w:val="00F752F4"/>
    <w:rsid w:val="00F77E1C"/>
    <w:rsid w:val="00F83ED1"/>
    <w:rsid w:val="00F85FF9"/>
    <w:rsid w:val="00F909CE"/>
    <w:rsid w:val="00F91496"/>
    <w:rsid w:val="00F94211"/>
    <w:rsid w:val="00FA215C"/>
    <w:rsid w:val="00FA2679"/>
    <w:rsid w:val="00FA36CA"/>
    <w:rsid w:val="00FA3D06"/>
    <w:rsid w:val="00FA695C"/>
    <w:rsid w:val="00FB15D6"/>
    <w:rsid w:val="00FB16A6"/>
    <w:rsid w:val="00FC1060"/>
    <w:rsid w:val="00FC3C5A"/>
    <w:rsid w:val="00FC57A1"/>
    <w:rsid w:val="00FD213D"/>
    <w:rsid w:val="00FD46E8"/>
    <w:rsid w:val="00FD4F50"/>
    <w:rsid w:val="00FD777A"/>
    <w:rsid w:val="00FE2897"/>
    <w:rsid w:val="00FF1499"/>
    <w:rsid w:val="00FF1BEC"/>
    <w:rsid w:val="00FF40E5"/>
    <w:rsid w:val="00FF5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62"/>
    <w:pPr>
      <w:widowControl w:val="0"/>
    </w:pPr>
    <w:rPr>
      <w:rFonts w:ascii="Arial" w:hAnsi="Arial"/>
      <w:sz w:val="24"/>
    </w:rPr>
  </w:style>
  <w:style w:type="paragraph" w:styleId="Heading1">
    <w:name w:val="heading 1"/>
    <w:basedOn w:val="Normal"/>
    <w:next w:val="Normal"/>
    <w:qFormat/>
    <w:rsid w:val="00392729"/>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2729"/>
    <w:pPr>
      <w:widowControl/>
      <w:jc w:val="both"/>
    </w:pPr>
  </w:style>
  <w:style w:type="paragraph" w:styleId="Title">
    <w:name w:val="Title"/>
    <w:basedOn w:val="Normal"/>
    <w:qFormat/>
    <w:rsid w:val="00392729"/>
    <w:pPr>
      <w:widowControl/>
      <w:spacing w:line="360" w:lineRule="auto"/>
      <w:jc w:val="center"/>
    </w:pPr>
    <w:rPr>
      <w:rFonts w:cs="Arial"/>
      <w:b/>
      <w:bCs/>
      <w:szCs w:val="24"/>
    </w:rPr>
  </w:style>
  <w:style w:type="paragraph" w:styleId="BodyText2">
    <w:name w:val="Body Text 2"/>
    <w:basedOn w:val="Normal"/>
    <w:semiHidden/>
    <w:rsid w:val="00392729"/>
    <w:pPr>
      <w:spacing w:after="120" w:line="480" w:lineRule="auto"/>
    </w:pPr>
  </w:style>
  <w:style w:type="paragraph" w:customStyle="1" w:styleId="NormalWeb1">
    <w:name w:val="Normal (Web)1"/>
    <w:basedOn w:val="Normal"/>
    <w:rsid w:val="00392729"/>
    <w:pPr>
      <w:widowControl/>
      <w:spacing w:before="100" w:after="100"/>
    </w:pPr>
    <w:rPr>
      <w:rFonts w:ascii="Arial Unicode MS" w:eastAsia="Arial Unicode MS" w:hAnsi="Times New Roman"/>
      <w:lang w:val="en-US"/>
    </w:rPr>
  </w:style>
  <w:style w:type="paragraph" w:styleId="Footer">
    <w:name w:val="footer"/>
    <w:basedOn w:val="Normal"/>
    <w:link w:val="FooterChar"/>
    <w:uiPriority w:val="99"/>
    <w:rsid w:val="00392729"/>
    <w:pPr>
      <w:tabs>
        <w:tab w:val="center" w:pos="4819"/>
        <w:tab w:val="right" w:pos="9638"/>
      </w:tabs>
    </w:pPr>
  </w:style>
  <w:style w:type="character" w:styleId="PageNumber">
    <w:name w:val="page number"/>
    <w:basedOn w:val="DefaultParagraphFont"/>
    <w:semiHidden/>
    <w:rsid w:val="00392729"/>
  </w:style>
  <w:style w:type="character" w:styleId="CommentReference">
    <w:name w:val="annotation reference"/>
    <w:basedOn w:val="DefaultParagraphFont"/>
    <w:semiHidden/>
    <w:rsid w:val="00392729"/>
    <w:rPr>
      <w:sz w:val="16"/>
      <w:szCs w:val="16"/>
    </w:rPr>
  </w:style>
  <w:style w:type="paragraph" w:styleId="CommentText">
    <w:name w:val="annotation text"/>
    <w:basedOn w:val="Normal"/>
    <w:semiHidden/>
    <w:rsid w:val="00392729"/>
    <w:rPr>
      <w:sz w:val="20"/>
    </w:rPr>
  </w:style>
  <w:style w:type="paragraph" w:styleId="CommentSubject">
    <w:name w:val="annotation subject"/>
    <w:basedOn w:val="CommentText"/>
    <w:next w:val="CommentText"/>
    <w:semiHidden/>
    <w:rsid w:val="00392729"/>
    <w:rPr>
      <w:b/>
      <w:bCs/>
    </w:rPr>
  </w:style>
  <w:style w:type="paragraph" w:styleId="BalloonText">
    <w:name w:val="Balloon Text"/>
    <w:basedOn w:val="Normal"/>
    <w:semiHidden/>
    <w:rsid w:val="00392729"/>
    <w:rPr>
      <w:rFonts w:ascii="Tahoma" w:hAnsi="Tahoma" w:cs="Tahoma"/>
      <w:sz w:val="16"/>
      <w:szCs w:val="16"/>
    </w:rPr>
  </w:style>
  <w:style w:type="paragraph" w:customStyle="1" w:styleId="Default">
    <w:name w:val="Default"/>
    <w:rsid w:val="00392729"/>
    <w:pPr>
      <w:autoSpaceDE w:val="0"/>
      <w:autoSpaceDN w:val="0"/>
      <w:adjustRightInd w:val="0"/>
    </w:pPr>
    <w:rPr>
      <w:rFonts w:ascii="Arial" w:hAnsi="Arial" w:cs="Arial"/>
      <w:color w:val="000000"/>
      <w:sz w:val="24"/>
      <w:szCs w:val="24"/>
      <w:lang w:val="en-US" w:eastAsia="en-US"/>
    </w:rPr>
  </w:style>
  <w:style w:type="paragraph" w:styleId="Header">
    <w:name w:val="header"/>
    <w:basedOn w:val="Normal"/>
    <w:semiHidden/>
    <w:rsid w:val="00392729"/>
    <w:pPr>
      <w:tabs>
        <w:tab w:val="center" w:pos="4986"/>
        <w:tab w:val="right" w:pos="9972"/>
      </w:tabs>
    </w:pPr>
  </w:style>
  <w:style w:type="paragraph" w:styleId="TOC1">
    <w:name w:val="toc 1"/>
    <w:basedOn w:val="Normal"/>
    <w:next w:val="Normal"/>
    <w:autoRedefine/>
    <w:uiPriority w:val="39"/>
    <w:rsid w:val="00392729"/>
    <w:pPr>
      <w:tabs>
        <w:tab w:val="right" w:leader="dot" w:pos="9628"/>
      </w:tabs>
      <w:spacing w:line="360" w:lineRule="auto"/>
    </w:pPr>
  </w:style>
  <w:style w:type="character" w:styleId="Hyperlink">
    <w:name w:val="Hyperlink"/>
    <w:basedOn w:val="DefaultParagraphFont"/>
    <w:uiPriority w:val="99"/>
    <w:rsid w:val="00392729"/>
    <w:rPr>
      <w:color w:val="0000FF"/>
      <w:u w:val="single"/>
    </w:rPr>
  </w:style>
  <w:style w:type="paragraph" w:styleId="ListParagraph">
    <w:name w:val="List Paragraph"/>
    <w:basedOn w:val="Normal"/>
    <w:uiPriority w:val="34"/>
    <w:qFormat/>
    <w:rsid w:val="00226A25"/>
    <w:pPr>
      <w:ind w:left="720"/>
      <w:contextualSpacing/>
    </w:pPr>
  </w:style>
  <w:style w:type="paragraph" w:styleId="EndnoteText">
    <w:name w:val="endnote text"/>
    <w:basedOn w:val="Normal"/>
    <w:link w:val="EndnoteTextChar"/>
    <w:uiPriority w:val="99"/>
    <w:semiHidden/>
    <w:unhideWhenUsed/>
    <w:rsid w:val="008F144E"/>
    <w:rPr>
      <w:sz w:val="20"/>
    </w:rPr>
  </w:style>
  <w:style w:type="character" w:customStyle="1" w:styleId="EndnoteTextChar">
    <w:name w:val="Endnote Text Char"/>
    <w:basedOn w:val="DefaultParagraphFont"/>
    <w:link w:val="EndnoteText"/>
    <w:uiPriority w:val="99"/>
    <w:semiHidden/>
    <w:rsid w:val="008F144E"/>
    <w:rPr>
      <w:rFonts w:ascii="Arial" w:hAnsi="Arial"/>
    </w:rPr>
  </w:style>
  <w:style w:type="character" w:styleId="EndnoteReference">
    <w:name w:val="endnote reference"/>
    <w:basedOn w:val="DefaultParagraphFont"/>
    <w:uiPriority w:val="99"/>
    <w:semiHidden/>
    <w:unhideWhenUsed/>
    <w:rsid w:val="008F144E"/>
    <w:rPr>
      <w:vertAlign w:val="superscript"/>
    </w:rPr>
  </w:style>
  <w:style w:type="paragraph" w:styleId="FootnoteText">
    <w:name w:val="footnote text"/>
    <w:basedOn w:val="Normal"/>
    <w:link w:val="FootnoteTextChar"/>
    <w:uiPriority w:val="99"/>
    <w:semiHidden/>
    <w:unhideWhenUsed/>
    <w:rsid w:val="008F144E"/>
    <w:rPr>
      <w:sz w:val="20"/>
    </w:rPr>
  </w:style>
  <w:style w:type="character" w:customStyle="1" w:styleId="FootnoteTextChar">
    <w:name w:val="Footnote Text Char"/>
    <w:basedOn w:val="DefaultParagraphFont"/>
    <w:link w:val="FootnoteText"/>
    <w:uiPriority w:val="99"/>
    <w:semiHidden/>
    <w:rsid w:val="008F144E"/>
    <w:rPr>
      <w:rFonts w:ascii="Arial" w:hAnsi="Arial"/>
    </w:rPr>
  </w:style>
  <w:style w:type="character" w:styleId="FootnoteReference">
    <w:name w:val="footnote reference"/>
    <w:basedOn w:val="DefaultParagraphFont"/>
    <w:uiPriority w:val="99"/>
    <w:semiHidden/>
    <w:unhideWhenUsed/>
    <w:rsid w:val="008F144E"/>
    <w:rPr>
      <w:vertAlign w:val="superscript"/>
    </w:rPr>
  </w:style>
  <w:style w:type="character" w:customStyle="1" w:styleId="FooterChar">
    <w:name w:val="Footer Char"/>
    <w:basedOn w:val="DefaultParagraphFont"/>
    <w:link w:val="Footer"/>
    <w:uiPriority w:val="99"/>
    <w:rsid w:val="00FC106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62"/>
    <w:pPr>
      <w:widowControl w:val="0"/>
    </w:pPr>
    <w:rPr>
      <w:rFonts w:ascii="Arial" w:hAnsi="Arial"/>
      <w:sz w:val="24"/>
    </w:rPr>
  </w:style>
  <w:style w:type="paragraph" w:styleId="Heading1">
    <w:name w:val="heading 1"/>
    <w:basedOn w:val="Normal"/>
    <w:next w:val="Normal"/>
    <w:qFormat/>
    <w:rsid w:val="00392729"/>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92729"/>
    <w:pPr>
      <w:widowControl/>
      <w:jc w:val="both"/>
    </w:pPr>
  </w:style>
  <w:style w:type="paragraph" w:styleId="Title">
    <w:name w:val="Title"/>
    <w:basedOn w:val="Normal"/>
    <w:qFormat/>
    <w:rsid w:val="00392729"/>
    <w:pPr>
      <w:widowControl/>
      <w:spacing w:line="360" w:lineRule="auto"/>
      <w:jc w:val="center"/>
    </w:pPr>
    <w:rPr>
      <w:rFonts w:cs="Arial"/>
      <w:b/>
      <w:bCs/>
      <w:szCs w:val="24"/>
    </w:rPr>
  </w:style>
  <w:style w:type="paragraph" w:styleId="BodyText2">
    <w:name w:val="Body Text 2"/>
    <w:basedOn w:val="Normal"/>
    <w:semiHidden/>
    <w:rsid w:val="00392729"/>
    <w:pPr>
      <w:spacing w:after="120" w:line="480" w:lineRule="auto"/>
    </w:pPr>
  </w:style>
  <w:style w:type="paragraph" w:customStyle="1" w:styleId="NormalWeb1">
    <w:name w:val="Normal (Web)1"/>
    <w:basedOn w:val="Normal"/>
    <w:rsid w:val="00392729"/>
    <w:pPr>
      <w:widowControl/>
      <w:spacing w:before="100" w:after="100"/>
    </w:pPr>
    <w:rPr>
      <w:rFonts w:ascii="Arial Unicode MS" w:eastAsia="Arial Unicode MS" w:hAnsi="Times New Roman"/>
      <w:lang w:val="en-US"/>
    </w:rPr>
  </w:style>
  <w:style w:type="paragraph" w:styleId="Footer">
    <w:name w:val="footer"/>
    <w:basedOn w:val="Normal"/>
    <w:link w:val="FooterChar"/>
    <w:uiPriority w:val="99"/>
    <w:rsid w:val="00392729"/>
    <w:pPr>
      <w:tabs>
        <w:tab w:val="center" w:pos="4819"/>
        <w:tab w:val="right" w:pos="9638"/>
      </w:tabs>
    </w:pPr>
  </w:style>
  <w:style w:type="character" w:styleId="PageNumber">
    <w:name w:val="page number"/>
    <w:basedOn w:val="DefaultParagraphFont"/>
    <w:semiHidden/>
    <w:rsid w:val="00392729"/>
  </w:style>
  <w:style w:type="character" w:styleId="CommentReference">
    <w:name w:val="annotation reference"/>
    <w:basedOn w:val="DefaultParagraphFont"/>
    <w:semiHidden/>
    <w:rsid w:val="00392729"/>
    <w:rPr>
      <w:sz w:val="16"/>
      <w:szCs w:val="16"/>
    </w:rPr>
  </w:style>
  <w:style w:type="paragraph" w:styleId="CommentText">
    <w:name w:val="annotation text"/>
    <w:basedOn w:val="Normal"/>
    <w:semiHidden/>
    <w:rsid w:val="00392729"/>
    <w:rPr>
      <w:sz w:val="20"/>
    </w:rPr>
  </w:style>
  <w:style w:type="paragraph" w:styleId="CommentSubject">
    <w:name w:val="annotation subject"/>
    <w:basedOn w:val="CommentText"/>
    <w:next w:val="CommentText"/>
    <w:semiHidden/>
    <w:rsid w:val="00392729"/>
    <w:rPr>
      <w:b/>
      <w:bCs/>
    </w:rPr>
  </w:style>
  <w:style w:type="paragraph" w:styleId="BalloonText">
    <w:name w:val="Balloon Text"/>
    <w:basedOn w:val="Normal"/>
    <w:semiHidden/>
    <w:rsid w:val="00392729"/>
    <w:rPr>
      <w:rFonts w:ascii="Tahoma" w:hAnsi="Tahoma" w:cs="Tahoma"/>
      <w:sz w:val="16"/>
      <w:szCs w:val="16"/>
    </w:rPr>
  </w:style>
  <w:style w:type="paragraph" w:customStyle="1" w:styleId="Default">
    <w:name w:val="Default"/>
    <w:rsid w:val="00392729"/>
    <w:pPr>
      <w:autoSpaceDE w:val="0"/>
      <w:autoSpaceDN w:val="0"/>
      <w:adjustRightInd w:val="0"/>
    </w:pPr>
    <w:rPr>
      <w:rFonts w:ascii="Arial" w:hAnsi="Arial" w:cs="Arial"/>
      <w:color w:val="000000"/>
      <w:sz w:val="24"/>
      <w:szCs w:val="24"/>
      <w:lang w:val="en-US" w:eastAsia="en-US"/>
    </w:rPr>
  </w:style>
  <w:style w:type="paragraph" w:styleId="Header">
    <w:name w:val="header"/>
    <w:basedOn w:val="Normal"/>
    <w:semiHidden/>
    <w:rsid w:val="00392729"/>
    <w:pPr>
      <w:tabs>
        <w:tab w:val="center" w:pos="4986"/>
        <w:tab w:val="right" w:pos="9972"/>
      </w:tabs>
    </w:pPr>
  </w:style>
  <w:style w:type="paragraph" w:styleId="TOC1">
    <w:name w:val="toc 1"/>
    <w:basedOn w:val="Normal"/>
    <w:next w:val="Normal"/>
    <w:autoRedefine/>
    <w:uiPriority w:val="39"/>
    <w:rsid w:val="00392729"/>
    <w:pPr>
      <w:tabs>
        <w:tab w:val="right" w:leader="dot" w:pos="9628"/>
      </w:tabs>
      <w:spacing w:line="360" w:lineRule="auto"/>
    </w:pPr>
  </w:style>
  <w:style w:type="character" w:styleId="Hyperlink">
    <w:name w:val="Hyperlink"/>
    <w:basedOn w:val="DefaultParagraphFont"/>
    <w:uiPriority w:val="99"/>
    <w:rsid w:val="00392729"/>
    <w:rPr>
      <w:color w:val="0000FF"/>
      <w:u w:val="single"/>
    </w:rPr>
  </w:style>
  <w:style w:type="paragraph" w:styleId="ListParagraph">
    <w:name w:val="List Paragraph"/>
    <w:basedOn w:val="Normal"/>
    <w:uiPriority w:val="34"/>
    <w:qFormat/>
    <w:rsid w:val="00226A25"/>
    <w:pPr>
      <w:ind w:left="720"/>
      <w:contextualSpacing/>
    </w:pPr>
  </w:style>
  <w:style w:type="paragraph" w:styleId="EndnoteText">
    <w:name w:val="endnote text"/>
    <w:basedOn w:val="Normal"/>
    <w:link w:val="EndnoteTextChar"/>
    <w:uiPriority w:val="99"/>
    <w:semiHidden/>
    <w:unhideWhenUsed/>
    <w:rsid w:val="008F144E"/>
    <w:rPr>
      <w:sz w:val="20"/>
    </w:rPr>
  </w:style>
  <w:style w:type="character" w:customStyle="1" w:styleId="EndnoteTextChar">
    <w:name w:val="Endnote Text Char"/>
    <w:basedOn w:val="DefaultParagraphFont"/>
    <w:link w:val="EndnoteText"/>
    <w:uiPriority w:val="99"/>
    <w:semiHidden/>
    <w:rsid w:val="008F144E"/>
    <w:rPr>
      <w:rFonts w:ascii="Arial" w:hAnsi="Arial"/>
    </w:rPr>
  </w:style>
  <w:style w:type="character" w:styleId="EndnoteReference">
    <w:name w:val="endnote reference"/>
    <w:basedOn w:val="DefaultParagraphFont"/>
    <w:uiPriority w:val="99"/>
    <w:semiHidden/>
    <w:unhideWhenUsed/>
    <w:rsid w:val="008F144E"/>
    <w:rPr>
      <w:vertAlign w:val="superscript"/>
    </w:rPr>
  </w:style>
  <w:style w:type="paragraph" w:styleId="FootnoteText">
    <w:name w:val="footnote text"/>
    <w:basedOn w:val="Normal"/>
    <w:link w:val="FootnoteTextChar"/>
    <w:uiPriority w:val="99"/>
    <w:semiHidden/>
    <w:unhideWhenUsed/>
    <w:rsid w:val="008F144E"/>
    <w:rPr>
      <w:sz w:val="20"/>
    </w:rPr>
  </w:style>
  <w:style w:type="character" w:customStyle="1" w:styleId="FootnoteTextChar">
    <w:name w:val="Footnote Text Char"/>
    <w:basedOn w:val="DefaultParagraphFont"/>
    <w:link w:val="FootnoteText"/>
    <w:uiPriority w:val="99"/>
    <w:semiHidden/>
    <w:rsid w:val="008F144E"/>
    <w:rPr>
      <w:rFonts w:ascii="Arial" w:hAnsi="Arial"/>
    </w:rPr>
  </w:style>
  <w:style w:type="character" w:styleId="FootnoteReference">
    <w:name w:val="footnote reference"/>
    <w:basedOn w:val="DefaultParagraphFont"/>
    <w:uiPriority w:val="99"/>
    <w:semiHidden/>
    <w:unhideWhenUsed/>
    <w:rsid w:val="008F144E"/>
    <w:rPr>
      <w:vertAlign w:val="superscript"/>
    </w:rPr>
  </w:style>
  <w:style w:type="character" w:customStyle="1" w:styleId="FooterChar">
    <w:name w:val="Footer Char"/>
    <w:basedOn w:val="DefaultParagraphFont"/>
    <w:link w:val="Footer"/>
    <w:uiPriority w:val="99"/>
    <w:rsid w:val="00FC10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FB35-CE85-4A3A-A9E5-2E0B5B14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3165</Words>
  <Characters>18046</Characters>
  <Application>Microsoft Office Word</Application>
  <DocSecurity>0</DocSecurity>
  <Lines>150</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PARTE SPECIALE A</vt:lpstr>
      <vt:lpstr>PARTE SPECIALE A</vt:lpstr>
    </vt:vector>
  </TitlesOfParts>
  <Company>Cms Legal</Company>
  <LinksUpToDate>false</LinksUpToDate>
  <CharactersWithSpaces>21169</CharactersWithSpaces>
  <SharedDoc>false</SharedDoc>
  <HLinks>
    <vt:vector size="48" baseType="variant">
      <vt:variant>
        <vt:i4>1048630</vt:i4>
      </vt:variant>
      <vt:variant>
        <vt:i4>44</vt:i4>
      </vt:variant>
      <vt:variant>
        <vt:i4>0</vt:i4>
      </vt:variant>
      <vt:variant>
        <vt:i4>5</vt:i4>
      </vt:variant>
      <vt:variant>
        <vt:lpwstr/>
      </vt:variant>
      <vt:variant>
        <vt:lpwstr>_Toc234300078</vt:lpwstr>
      </vt:variant>
      <vt:variant>
        <vt:i4>1048630</vt:i4>
      </vt:variant>
      <vt:variant>
        <vt:i4>38</vt:i4>
      </vt:variant>
      <vt:variant>
        <vt:i4>0</vt:i4>
      </vt:variant>
      <vt:variant>
        <vt:i4>5</vt:i4>
      </vt:variant>
      <vt:variant>
        <vt:lpwstr/>
      </vt:variant>
      <vt:variant>
        <vt:lpwstr>_Toc234300077</vt:lpwstr>
      </vt:variant>
      <vt:variant>
        <vt:i4>1048630</vt:i4>
      </vt:variant>
      <vt:variant>
        <vt:i4>32</vt:i4>
      </vt:variant>
      <vt:variant>
        <vt:i4>0</vt:i4>
      </vt:variant>
      <vt:variant>
        <vt:i4>5</vt:i4>
      </vt:variant>
      <vt:variant>
        <vt:lpwstr/>
      </vt:variant>
      <vt:variant>
        <vt:lpwstr>_Toc234300076</vt:lpwstr>
      </vt:variant>
      <vt:variant>
        <vt:i4>1048630</vt:i4>
      </vt:variant>
      <vt:variant>
        <vt:i4>26</vt:i4>
      </vt:variant>
      <vt:variant>
        <vt:i4>0</vt:i4>
      </vt:variant>
      <vt:variant>
        <vt:i4>5</vt:i4>
      </vt:variant>
      <vt:variant>
        <vt:lpwstr/>
      </vt:variant>
      <vt:variant>
        <vt:lpwstr>_Toc234300075</vt:lpwstr>
      </vt:variant>
      <vt:variant>
        <vt:i4>1048630</vt:i4>
      </vt:variant>
      <vt:variant>
        <vt:i4>20</vt:i4>
      </vt:variant>
      <vt:variant>
        <vt:i4>0</vt:i4>
      </vt:variant>
      <vt:variant>
        <vt:i4>5</vt:i4>
      </vt:variant>
      <vt:variant>
        <vt:lpwstr/>
      </vt:variant>
      <vt:variant>
        <vt:lpwstr>_Toc234300074</vt:lpwstr>
      </vt:variant>
      <vt:variant>
        <vt:i4>1048630</vt:i4>
      </vt:variant>
      <vt:variant>
        <vt:i4>14</vt:i4>
      </vt:variant>
      <vt:variant>
        <vt:i4>0</vt:i4>
      </vt:variant>
      <vt:variant>
        <vt:i4>5</vt:i4>
      </vt:variant>
      <vt:variant>
        <vt:lpwstr/>
      </vt:variant>
      <vt:variant>
        <vt:lpwstr>_Toc234300073</vt:lpwstr>
      </vt:variant>
      <vt:variant>
        <vt:i4>1048630</vt:i4>
      </vt:variant>
      <vt:variant>
        <vt:i4>8</vt:i4>
      </vt:variant>
      <vt:variant>
        <vt:i4>0</vt:i4>
      </vt:variant>
      <vt:variant>
        <vt:i4>5</vt:i4>
      </vt:variant>
      <vt:variant>
        <vt:lpwstr/>
      </vt:variant>
      <vt:variant>
        <vt:lpwstr>_Toc234300072</vt:lpwstr>
      </vt:variant>
      <vt:variant>
        <vt:i4>1048630</vt:i4>
      </vt:variant>
      <vt:variant>
        <vt:i4>2</vt:i4>
      </vt:variant>
      <vt:variant>
        <vt:i4>0</vt:i4>
      </vt:variant>
      <vt:variant>
        <vt:i4>5</vt:i4>
      </vt:variant>
      <vt:variant>
        <vt:lpwstr/>
      </vt:variant>
      <vt:variant>
        <vt:lpwstr>_Toc234300071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SPECIALE A</dc:title>
  <dc:creator>CMS</dc:creator>
  <cp:lastModifiedBy>rmongelli00</cp:lastModifiedBy>
  <cp:revision>34</cp:revision>
  <cp:lastPrinted>2011-07-28T08:33:00Z</cp:lastPrinted>
  <dcterms:created xsi:type="dcterms:W3CDTF">2015-04-08T14:37:00Z</dcterms:created>
  <dcterms:modified xsi:type="dcterms:W3CDTF">2015-06-12T13:13:00Z</dcterms:modified>
</cp:coreProperties>
</file>